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A7" w:rsidRDefault="00321EA7">
      <w:pPr>
        <w:rPr>
          <w:b/>
          <w:u w:val="single"/>
        </w:rPr>
      </w:pPr>
      <w:r>
        <w:rPr>
          <w:b/>
          <w:u w:val="single"/>
        </w:rPr>
        <w:t>Obsah:</w:t>
      </w:r>
    </w:p>
    <w:p w:rsidR="00321EA7" w:rsidRDefault="00321EA7">
      <w:pPr>
        <w:rPr>
          <w:b/>
          <w:sz w:val="28"/>
          <w:u w:val="single"/>
        </w:rPr>
      </w:pPr>
    </w:p>
    <w:p w:rsidR="001242F3" w:rsidRDefault="00895BB4">
      <w:pPr>
        <w:pStyle w:val="Obsah1"/>
        <w:tabs>
          <w:tab w:val="left" w:pos="600"/>
        </w:tabs>
        <w:rPr>
          <w:rFonts w:asciiTheme="minorHAnsi" w:eastAsiaTheme="minorEastAsia" w:hAnsiTheme="minorHAnsi" w:cstheme="minorBidi"/>
          <w:b w:val="0"/>
          <w:i w:val="0"/>
          <w:noProof/>
          <w:sz w:val="22"/>
          <w:szCs w:val="22"/>
        </w:rPr>
      </w:pPr>
      <w:r w:rsidRPr="00895BB4">
        <w:rPr>
          <w:b w:val="0"/>
          <w:sz w:val="28"/>
          <w:u w:val="single"/>
        </w:rPr>
        <w:fldChar w:fldCharType="begin"/>
      </w:r>
      <w:r w:rsidR="00321EA7">
        <w:rPr>
          <w:b w:val="0"/>
          <w:sz w:val="28"/>
          <w:u w:val="single"/>
        </w:rPr>
        <w:instrText xml:space="preserve"> TOC \o "1-4" </w:instrText>
      </w:r>
      <w:r w:rsidRPr="00895BB4">
        <w:rPr>
          <w:b w:val="0"/>
          <w:sz w:val="28"/>
          <w:u w:val="single"/>
        </w:rPr>
        <w:fldChar w:fldCharType="separate"/>
      </w:r>
      <w:r w:rsidR="001242F3" w:rsidRPr="00BC5533">
        <w:rPr>
          <w:noProof/>
        </w:rPr>
        <w:t>1.</w:t>
      </w:r>
      <w:r w:rsidR="001242F3">
        <w:rPr>
          <w:rFonts w:asciiTheme="minorHAnsi" w:eastAsiaTheme="minorEastAsia" w:hAnsiTheme="minorHAnsi" w:cstheme="minorBidi"/>
          <w:b w:val="0"/>
          <w:i w:val="0"/>
          <w:noProof/>
          <w:sz w:val="22"/>
          <w:szCs w:val="22"/>
        </w:rPr>
        <w:tab/>
      </w:r>
      <w:r w:rsidR="001242F3">
        <w:rPr>
          <w:noProof/>
        </w:rPr>
        <w:t>T E C H N I C K Á  Z P R Á V A</w:t>
      </w:r>
      <w:r w:rsidR="001242F3">
        <w:rPr>
          <w:noProof/>
        </w:rPr>
        <w:tab/>
      </w:r>
      <w:r>
        <w:rPr>
          <w:noProof/>
        </w:rPr>
        <w:fldChar w:fldCharType="begin"/>
      </w:r>
      <w:r w:rsidR="001242F3">
        <w:rPr>
          <w:noProof/>
        </w:rPr>
        <w:instrText xml:space="preserve"> PAGEREF _Toc531755780 \h </w:instrText>
      </w:r>
      <w:r>
        <w:rPr>
          <w:noProof/>
        </w:rPr>
      </w:r>
      <w:r>
        <w:rPr>
          <w:noProof/>
        </w:rPr>
        <w:fldChar w:fldCharType="separate"/>
      </w:r>
      <w:r w:rsidR="0090069E">
        <w:rPr>
          <w:noProof/>
        </w:rPr>
        <w:t>2</w:t>
      </w:r>
      <w:r>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noProof/>
        </w:rPr>
        <w:t>1.1</w:t>
      </w:r>
      <w:r>
        <w:rPr>
          <w:rFonts w:asciiTheme="minorHAnsi" w:eastAsiaTheme="minorEastAsia" w:hAnsiTheme="minorHAnsi" w:cstheme="minorBidi"/>
          <w:b w:val="0"/>
          <w:noProof/>
          <w:szCs w:val="22"/>
        </w:rPr>
        <w:tab/>
      </w:r>
      <w:r>
        <w:rPr>
          <w:noProof/>
        </w:rPr>
        <w:t>Požadavky na postup stavebních a montážních prací</w:t>
      </w:r>
      <w:r>
        <w:rPr>
          <w:noProof/>
        </w:rPr>
        <w:tab/>
      </w:r>
      <w:r w:rsidR="00895BB4">
        <w:rPr>
          <w:noProof/>
        </w:rPr>
        <w:fldChar w:fldCharType="begin"/>
      </w:r>
      <w:r>
        <w:rPr>
          <w:noProof/>
        </w:rPr>
        <w:instrText xml:space="preserve"> PAGEREF _Toc531755781 \h </w:instrText>
      </w:r>
      <w:r w:rsidR="00895BB4">
        <w:rPr>
          <w:noProof/>
        </w:rPr>
      </w:r>
      <w:r w:rsidR="00895BB4">
        <w:rPr>
          <w:noProof/>
        </w:rPr>
        <w:fldChar w:fldCharType="separate"/>
      </w:r>
      <w:r w:rsidR="0090069E">
        <w:rPr>
          <w:noProof/>
        </w:rPr>
        <w:t>2</w:t>
      </w:r>
      <w:r w:rsidR="00895BB4">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noProof/>
        </w:rPr>
        <w:t>1.2</w:t>
      </w:r>
      <w:r>
        <w:rPr>
          <w:rFonts w:asciiTheme="minorHAnsi" w:eastAsiaTheme="minorEastAsia" w:hAnsiTheme="minorHAnsi" w:cstheme="minorBidi"/>
          <w:b w:val="0"/>
          <w:noProof/>
          <w:szCs w:val="22"/>
        </w:rPr>
        <w:tab/>
      </w:r>
      <w:r>
        <w:rPr>
          <w:noProof/>
        </w:rPr>
        <w:t>Popis stavby:</w:t>
      </w:r>
      <w:r>
        <w:rPr>
          <w:noProof/>
        </w:rPr>
        <w:tab/>
      </w:r>
      <w:r w:rsidR="00895BB4">
        <w:rPr>
          <w:noProof/>
        </w:rPr>
        <w:fldChar w:fldCharType="begin"/>
      </w:r>
      <w:r>
        <w:rPr>
          <w:noProof/>
        </w:rPr>
        <w:instrText xml:space="preserve"> PAGEREF _Toc531755782 \h </w:instrText>
      </w:r>
      <w:r w:rsidR="00895BB4">
        <w:rPr>
          <w:noProof/>
        </w:rPr>
      </w:r>
      <w:r w:rsidR="00895BB4">
        <w:rPr>
          <w:noProof/>
        </w:rPr>
        <w:fldChar w:fldCharType="separate"/>
      </w:r>
      <w:r w:rsidR="0090069E">
        <w:rPr>
          <w:noProof/>
        </w:rPr>
        <w:t>2</w:t>
      </w:r>
      <w:r w:rsidR="00895BB4">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Vodovod</w:t>
      </w:r>
      <w:r>
        <w:rPr>
          <w:noProof/>
        </w:rPr>
        <w:tab/>
      </w:r>
      <w:r w:rsidR="00895BB4">
        <w:rPr>
          <w:noProof/>
        </w:rPr>
        <w:fldChar w:fldCharType="begin"/>
      </w:r>
      <w:r>
        <w:rPr>
          <w:noProof/>
        </w:rPr>
        <w:instrText xml:space="preserve"> PAGEREF _Toc531755783 \h </w:instrText>
      </w:r>
      <w:r w:rsidR="00895BB4">
        <w:rPr>
          <w:noProof/>
        </w:rPr>
      </w:r>
      <w:r w:rsidR="00895BB4">
        <w:rPr>
          <w:noProof/>
        </w:rPr>
        <w:fldChar w:fldCharType="separate"/>
      </w:r>
      <w:r w:rsidR="0090069E">
        <w:rPr>
          <w:noProof/>
        </w:rPr>
        <w:t>2</w:t>
      </w:r>
      <w:r w:rsidR="00895BB4">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Kanalizace</w:t>
      </w:r>
      <w:r>
        <w:rPr>
          <w:noProof/>
        </w:rPr>
        <w:tab/>
      </w:r>
      <w:r w:rsidR="00895BB4">
        <w:rPr>
          <w:noProof/>
        </w:rPr>
        <w:fldChar w:fldCharType="begin"/>
      </w:r>
      <w:r>
        <w:rPr>
          <w:noProof/>
        </w:rPr>
        <w:instrText xml:space="preserve"> PAGEREF _Toc531755784 \h </w:instrText>
      </w:r>
      <w:r w:rsidR="00895BB4">
        <w:rPr>
          <w:noProof/>
        </w:rPr>
      </w:r>
      <w:r w:rsidR="00895BB4">
        <w:rPr>
          <w:noProof/>
        </w:rPr>
        <w:fldChar w:fldCharType="separate"/>
      </w:r>
      <w:r w:rsidR="0090069E">
        <w:rPr>
          <w:noProof/>
        </w:rPr>
        <w:t>2</w:t>
      </w:r>
      <w:r w:rsidR="00895BB4">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Zemní práce</w:t>
      </w:r>
      <w:r>
        <w:rPr>
          <w:noProof/>
        </w:rPr>
        <w:tab/>
      </w:r>
      <w:r w:rsidR="00895BB4">
        <w:rPr>
          <w:noProof/>
        </w:rPr>
        <w:fldChar w:fldCharType="begin"/>
      </w:r>
      <w:r>
        <w:rPr>
          <w:noProof/>
        </w:rPr>
        <w:instrText xml:space="preserve"> PAGEREF _Toc531755785 \h </w:instrText>
      </w:r>
      <w:r w:rsidR="00895BB4">
        <w:rPr>
          <w:noProof/>
        </w:rPr>
      </w:r>
      <w:r w:rsidR="00895BB4">
        <w:rPr>
          <w:noProof/>
        </w:rPr>
        <w:fldChar w:fldCharType="separate"/>
      </w:r>
      <w:r w:rsidR="0090069E">
        <w:rPr>
          <w:noProof/>
        </w:rPr>
        <w:t>2</w:t>
      </w:r>
      <w:r w:rsidR="00895BB4">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Přípravné práce</w:t>
      </w:r>
      <w:r>
        <w:rPr>
          <w:noProof/>
        </w:rPr>
        <w:tab/>
      </w:r>
      <w:r w:rsidR="00895BB4">
        <w:rPr>
          <w:noProof/>
        </w:rPr>
        <w:fldChar w:fldCharType="begin"/>
      </w:r>
      <w:r>
        <w:rPr>
          <w:noProof/>
        </w:rPr>
        <w:instrText xml:space="preserve"> PAGEREF _Toc531755786 \h </w:instrText>
      </w:r>
      <w:r w:rsidR="00895BB4">
        <w:rPr>
          <w:noProof/>
        </w:rPr>
      </w:r>
      <w:r w:rsidR="00895BB4">
        <w:rPr>
          <w:noProof/>
        </w:rPr>
        <w:fldChar w:fldCharType="separate"/>
      </w:r>
      <w:r w:rsidR="0090069E">
        <w:rPr>
          <w:noProof/>
        </w:rPr>
        <w:t>3</w:t>
      </w:r>
      <w:r w:rsidR="00895BB4">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Montáž vodovodních řadů</w:t>
      </w:r>
      <w:r>
        <w:rPr>
          <w:noProof/>
        </w:rPr>
        <w:tab/>
      </w:r>
      <w:r w:rsidR="00895BB4">
        <w:rPr>
          <w:noProof/>
        </w:rPr>
        <w:fldChar w:fldCharType="begin"/>
      </w:r>
      <w:r>
        <w:rPr>
          <w:noProof/>
        </w:rPr>
        <w:instrText xml:space="preserve"> PAGEREF _Toc531755787 \h </w:instrText>
      </w:r>
      <w:r w:rsidR="00895BB4">
        <w:rPr>
          <w:noProof/>
        </w:rPr>
      </w:r>
      <w:r w:rsidR="00895BB4">
        <w:rPr>
          <w:noProof/>
        </w:rPr>
        <w:fldChar w:fldCharType="separate"/>
      </w:r>
      <w:r w:rsidR="0090069E">
        <w:rPr>
          <w:noProof/>
        </w:rPr>
        <w:t>3</w:t>
      </w:r>
      <w:r w:rsidR="00895BB4">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1.2.6</w:t>
      </w:r>
      <w:r>
        <w:rPr>
          <w:rFonts w:asciiTheme="minorHAnsi" w:eastAsiaTheme="minorEastAsia" w:hAnsiTheme="minorHAnsi" w:cstheme="minorBidi"/>
          <w:noProof/>
          <w:sz w:val="22"/>
          <w:szCs w:val="22"/>
        </w:rPr>
        <w:tab/>
      </w:r>
      <w:r>
        <w:rPr>
          <w:noProof/>
        </w:rPr>
        <w:t>Spojování potrubí</w:t>
      </w:r>
      <w:r>
        <w:rPr>
          <w:noProof/>
        </w:rPr>
        <w:tab/>
      </w:r>
      <w:r w:rsidR="00895BB4">
        <w:rPr>
          <w:noProof/>
        </w:rPr>
        <w:fldChar w:fldCharType="begin"/>
      </w:r>
      <w:r>
        <w:rPr>
          <w:noProof/>
        </w:rPr>
        <w:instrText xml:space="preserve"> PAGEREF _Toc531755788 \h </w:instrText>
      </w:r>
      <w:r w:rsidR="00895BB4">
        <w:rPr>
          <w:noProof/>
        </w:rPr>
      </w:r>
      <w:r w:rsidR="00895BB4">
        <w:rPr>
          <w:noProof/>
        </w:rPr>
        <w:fldChar w:fldCharType="separate"/>
      </w:r>
      <w:r w:rsidR="0090069E">
        <w:rPr>
          <w:noProof/>
        </w:rPr>
        <w:t>3</w:t>
      </w:r>
      <w:r w:rsidR="00895BB4">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1.2.7</w:t>
      </w:r>
      <w:r>
        <w:rPr>
          <w:rFonts w:asciiTheme="minorHAnsi" w:eastAsiaTheme="minorEastAsia" w:hAnsiTheme="minorHAnsi" w:cstheme="minorBidi"/>
          <w:noProof/>
          <w:sz w:val="22"/>
          <w:szCs w:val="22"/>
        </w:rPr>
        <w:tab/>
      </w:r>
      <w:r>
        <w:rPr>
          <w:noProof/>
        </w:rPr>
        <w:t>Tlaková zkouška</w:t>
      </w:r>
      <w:r>
        <w:rPr>
          <w:noProof/>
        </w:rPr>
        <w:tab/>
      </w:r>
      <w:r w:rsidR="00895BB4">
        <w:rPr>
          <w:noProof/>
        </w:rPr>
        <w:fldChar w:fldCharType="begin"/>
      </w:r>
      <w:r>
        <w:rPr>
          <w:noProof/>
        </w:rPr>
        <w:instrText xml:space="preserve"> PAGEREF _Toc531755789 \h </w:instrText>
      </w:r>
      <w:r w:rsidR="00895BB4">
        <w:rPr>
          <w:noProof/>
        </w:rPr>
      </w:r>
      <w:r w:rsidR="00895BB4">
        <w:rPr>
          <w:noProof/>
        </w:rPr>
        <w:fldChar w:fldCharType="separate"/>
      </w:r>
      <w:r w:rsidR="0090069E">
        <w:rPr>
          <w:noProof/>
        </w:rPr>
        <w:t>3</w:t>
      </w:r>
      <w:r w:rsidR="00895BB4">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1.2.8</w:t>
      </w:r>
      <w:r>
        <w:rPr>
          <w:rFonts w:asciiTheme="minorHAnsi" w:eastAsiaTheme="minorEastAsia" w:hAnsiTheme="minorHAnsi" w:cstheme="minorBidi"/>
          <w:noProof/>
          <w:sz w:val="22"/>
          <w:szCs w:val="22"/>
        </w:rPr>
        <w:tab/>
      </w:r>
      <w:r>
        <w:rPr>
          <w:noProof/>
        </w:rPr>
        <w:t>Označení armatur</w:t>
      </w:r>
      <w:r>
        <w:rPr>
          <w:noProof/>
        </w:rPr>
        <w:tab/>
      </w:r>
      <w:r w:rsidR="00895BB4">
        <w:rPr>
          <w:noProof/>
        </w:rPr>
        <w:fldChar w:fldCharType="begin"/>
      </w:r>
      <w:r>
        <w:rPr>
          <w:noProof/>
        </w:rPr>
        <w:instrText xml:space="preserve"> PAGEREF _Toc531755790 \h </w:instrText>
      </w:r>
      <w:r w:rsidR="00895BB4">
        <w:rPr>
          <w:noProof/>
        </w:rPr>
      </w:r>
      <w:r w:rsidR="00895BB4">
        <w:rPr>
          <w:noProof/>
        </w:rPr>
        <w:fldChar w:fldCharType="separate"/>
      </w:r>
      <w:r w:rsidR="0090069E">
        <w:rPr>
          <w:noProof/>
        </w:rPr>
        <w:t>3</w:t>
      </w:r>
      <w:r w:rsidR="00895BB4">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1.2.9</w:t>
      </w:r>
      <w:r>
        <w:rPr>
          <w:rFonts w:asciiTheme="minorHAnsi" w:eastAsiaTheme="minorEastAsia" w:hAnsiTheme="minorHAnsi" w:cstheme="minorBidi"/>
          <w:noProof/>
          <w:sz w:val="22"/>
          <w:szCs w:val="22"/>
        </w:rPr>
        <w:tab/>
      </w:r>
      <w:r>
        <w:rPr>
          <w:noProof/>
        </w:rPr>
        <w:t>Úpravy povrchu zásypu</w:t>
      </w:r>
      <w:r>
        <w:rPr>
          <w:noProof/>
        </w:rPr>
        <w:tab/>
      </w:r>
      <w:r w:rsidR="00895BB4">
        <w:rPr>
          <w:noProof/>
        </w:rPr>
        <w:fldChar w:fldCharType="begin"/>
      </w:r>
      <w:r>
        <w:rPr>
          <w:noProof/>
        </w:rPr>
        <w:instrText xml:space="preserve"> PAGEREF _Toc531755791 \h </w:instrText>
      </w:r>
      <w:r w:rsidR="00895BB4">
        <w:rPr>
          <w:noProof/>
        </w:rPr>
      </w:r>
      <w:r w:rsidR="00895BB4">
        <w:rPr>
          <w:noProof/>
        </w:rPr>
        <w:fldChar w:fldCharType="separate"/>
      </w:r>
      <w:r w:rsidR="0090069E">
        <w:rPr>
          <w:noProof/>
        </w:rPr>
        <w:t>3</w:t>
      </w:r>
      <w:r w:rsidR="00895BB4">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2.</w:t>
      </w:r>
      <w:r>
        <w:rPr>
          <w:rFonts w:asciiTheme="minorHAnsi" w:eastAsiaTheme="minorEastAsia" w:hAnsiTheme="minorHAnsi" w:cstheme="minorBidi"/>
          <w:b w:val="0"/>
          <w:i w:val="0"/>
          <w:noProof/>
          <w:sz w:val="22"/>
          <w:szCs w:val="22"/>
        </w:rPr>
        <w:tab/>
      </w:r>
      <w:r>
        <w:rPr>
          <w:noProof/>
        </w:rPr>
        <w:t>Kanalizace:</w:t>
      </w:r>
      <w:r>
        <w:rPr>
          <w:noProof/>
        </w:rPr>
        <w:tab/>
      </w:r>
      <w:r w:rsidR="00895BB4">
        <w:rPr>
          <w:noProof/>
        </w:rPr>
        <w:fldChar w:fldCharType="begin"/>
      </w:r>
      <w:r>
        <w:rPr>
          <w:noProof/>
        </w:rPr>
        <w:instrText xml:space="preserve"> PAGEREF _Toc531755792 \h </w:instrText>
      </w:r>
      <w:r w:rsidR="00895BB4">
        <w:rPr>
          <w:noProof/>
        </w:rPr>
      </w:r>
      <w:r w:rsidR="00895BB4">
        <w:rPr>
          <w:noProof/>
        </w:rPr>
        <w:fldChar w:fldCharType="separate"/>
      </w:r>
      <w:r w:rsidR="0090069E">
        <w:rPr>
          <w:noProof/>
        </w:rPr>
        <w:t>3</w:t>
      </w:r>
      <w:r w:rsidR="00895BB4">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i/>
          <w:noProof/>
        </w:rPr>
        <w:t>2.1</w:t>
      </w:r>
      <w:r>
        <w:rPr>
          <w:rFonts w:asciiTheme="minorHAnsi" w:eastAsiaTheme="minorEastAsia" w:hAnsiTheme="minorHAnsi" w:cstheme="minorBidi"/>
          <w:b w:val="0"/>
          <w:noProof/>
          <w:szCs w:val="22"/>
        </w:rPr>
        <w:tab/>
      </w:r>
      <w:r>
        <w:rPr>
          <w:noProof/>
        </w:rPr>
        <w:t>Šachty</w:t>
      </w:r>
      <w:r>
        <w:rPr>
          <w:noProof/>
        </w:rPr>
        <w:tab/>
      </w:r>
      <w:r w:rsidR="00895BB4">
        <w:rPr>
          <w:noProof/>
        </w:rPr>
        <w:fldChar w:fldCharType="begin"/>
      </w:r>
      <w:r>
        <w:rPr>
          <w:noProof/>
        </w:rPr>
        <w:instrText xml:space="preserve"> PAGEREF _Toc531755793 \h </w:instrText>
      </w:r>
      <w:r w:rsidR="00895BB4">
        <w:rPr>
          <w:noProof/>
        </w:rPr>
      </w:r>
      <w:r w:rsidR="00895BB4">
        <w:rPr>
          <w:noProof/>
        </w:rPr>
        <w:fldChar w:fldCharType="separate"/>
      </w:r>
      <w:r w:rsidR="0090069E">
        <w:rPr>
          <w:noProof/>
        </w:rPr>
        <w:t>4</w:t>
      </w:r>
      <w:r w:rsidR="00895BB4">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3.</w:t>
      </w:r>
      <w:r>
        <w:rPr>
          <w:rFonts w:asciiTheme="minorHAnsi" w:eastAsiaTheme="minorEastAsia" w:hAnsiTheme="minorHAnsi" w:cstheme="minorBidi"/>
          <w:b w:val="0"/>
          <w:i w:val="0"/>
          <w:noProof/>
          <w:sz w:val="22"/>
          <w:szCs w:val="22"/>
        </w:rPr>
        <w:tab/>
      </w:r>
      <w:r>
        <w:rPr>
          <w:noProof/>
        </w:rPr>
        <w:t>Výpočet odtoku: BN-Na Karlově - dešťová kanalizace</w:t>
      </w:r>
      <w:r>
        <w:rPr>
          <w:noProof/>
        </w:rPr>
        <w:tab/>
      </w:r>
      <w:r w:rsidR="00895BB4">
        <w:rPr>
          <w:noProof/>
        </w:rPr>
        <w:fldChar w:fldCharType="begin"/>
      </w:r>
      <w:r>
        <w:rPr>
          <w:noProof/>
        </w:rPr>
        <w:instrText xml:space="preserve"> PAGEREF _Toc531755794 \h </w:instrText>
      </w:r>
      <w:r w:rsidR="00895BB4">
        <w:rPr>
          <w:noProof/>
        </w:rPr>
      </w:r>
      <w:r w:rsidR="00895BB4">
        <w:rPr>
          <w:noProof/>
        </w:rPr>
        <w:fldChar w:fldCharType="separate"/>
      </w:r>
      <w:r w:rsidR="0090069E">
        <w:rPr>
          <w:noProof/>
        </w:rPr>
        <w:t>5</w:t>
      </w:r>
      <w:r w:rsidR="00895BB4">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i/>
          <w:noProof/>
        </w:rPr>
        <w:t>3.1</w:t>
      </w:r>
      <w:r>
        <w:rPr>
          <w:rFonts w:asciiTheme="minorHAnsi" w:eastAsiaTheme="minorEastAsia" w:hAnsiTheme="minorHAnsi" w:cstheme="minorBidi"/>
          <w:b w:val="0"/>
          <w:noProof/>
          <w:szCs w:val="22"/>
        </w:rPr>
        <w:tab/>
      </w:r>
      <w:r>
        <w:rPr>
          <w:noProof/>
        </w:rPr>
        <w:t>Pokládání trub</w:t>
      </w:r>
      <w:r>
        <w:rPr>
          <w:noProof/>
        </w:rPr>
        <w:tab/>
      </w:r>
      <w:r w:rsidR="00895BB4">
        <w:rPr>
          <w:noProof/>
        </w:rPr>
        <w:fldChar w:fldCharType="begin"/>
      </w:r>
      <w:r>
        <w:rPr>
          <w:noProof/>
        </w:rPr>
        <w:instrText xml:space="preserve"> PAGEREF _Toc531755795 \h </w:instrText>
      </w:r>
      <w:r w:rsidR="00895BB4">
        <w:rPr>
          <w:noProof/>
        </w:rPr>
      </w:r>
      <w:r w:rsidR="00895BB4">
        <w:rPr>
          <w:noProof/>
        </w:rPr>
        <w:fldChar w:fldCharType="separate"/>
      </w:r>
      <w:r w:rsidR="0090069E">
        <w:rPr>
          <w:noProof/>
        </w:rPr>
        <w:t>6</w:t>
      </w:r>
      <w:r w:rsidR="00895BB4">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4.</w:t>
      </w:r>
      <w:r>
        <w:rPr>
          <w:rFonts w:asciiTheme="minorHAnsi" w:eastAsiaTheme="minorEastAsia" w:hAnsiTheme="minorHAnsi" w:cstheme="minorBidi"/>
          <w:b w:val="0"/>
          <w:i w:val="0"/>
          <w:noProof/>
          <w:sz w:val="22"/>
          <w:szCs w:val="22"/>
        </w:rPr>
        <w:tab/>
      </w:r>
      <w:r>
        <w:rPr>
          <w:noProof/>
        </w:rPr>
        <w:t>Vytyčovací souřadnice vodovodu a kanalizace</w:t>
      </w:r>
      <w:r>
        <w:rPr>
          <w:noProof/>
        </w:rPr>
        <w:tab/>
      </w:r>
      <w:r w:rsidR="00895BB4">
        <w:rPr>
          <w:noProof/>
        </w:rPr>
        <w:fldChar w:fldCharType="begin"/>
      </w:r>
      <w:r>
        <w:rPr>
          <w:noProof/>
        </w:rPr>
        <w:instrText xml:space="preserve"> PAGEREF _Toc531755796 \h </w:instrText>
      </w:r>
      <w:r w:rsidR="00895BB4">
        <w:rPr>
          <w:noProof/>
        </w:rPr>
      </w:r>
      <w:r w:rsidR="00895BB4">
        <w:rPr>
          <w:noProof/>
        </w:rPr>
        <w:fldChar w:fldCharType="separate"/>
      </w:r>
      <w:r w:rsidR="0090069E">
        <w:rPr>
          <w:noProof/>
        </w:rPr>
        <w:t>11</w:t>
      </w:r>
      <w:r w:rsidR="00895BB4">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5.</w:t>
      </w:r>
      <w:r>
        <w:rPr>
          <w:rFonts w:asciiTheme="minorHAnsi" w:eastAsiaTheme="minorEastAsia" w:hAnsiTheme="minorHAnsi" w:cstheme="minorBidi"/>
          <w:b w:val="0"/>
          <w:i w:val="0"/>
          <w:noProof/>
          <w:sz w:val="22"/>
          <w:szCs w:val="22"/>
        </w:rPr>
        <w:tab/>
      </w:r>
      <w:r>
        <w:rPr>
          <w:noProof/>
        </w:rPr>
        <w:t>Kontrola jakosti</w:t>
      </w:r>
      <w:r>
        <w:rPr>
          <w:noProof/>
        </w:rPr>
        <w:tab/>
      </w:r>
      <w:r w:rsidR="00895BB4">
        <w:rPr>
          <w:noProof/>
        </w:rPr>
        <w:fldChar w:fldCharType="begin"/>
      </w:r>
      <w:r>
        <w:rPr>
          <w:noProof/>
        </w:rPr>
        <w:instrText xml:space="preserve"> PAGEREF _Toc531755797 \h </w:instrText>
      </w:r>
      <w:r w:rsidR="00895BB4">
        <w:rPr>
          <w:noProof/>
        </w:rPr>
      </w:r>
      <w:r w:rsidR="00895BB4">
        <w:rPr>
          <w:noProof/>
        </w:rPr>
        <w:fldChar w:fldCharType="separate"/>
      </w:r>
      <w:r w:rsidR="0090069E">
        <w:rPr>
          <w:noProof/>
        </w:rPr>
        <w:t>11</w:t>
      </w:r>
      <w:r w:rsidR="00895BB4">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bCs/>
          <w:noProof/>
        </w:rPr>
        <w:t>5.1</w:t>
      </w:r>
      <w:r>
        <w:rPr>
          <w:rFonts w:asciiTheme="minorHAnsi" w:eastAsiaTheme="minorEastAsia" w:hAnsiTheme="minorHAnsi" w:cstheme="minorBidi"/>
          <w:b w:val="0"/>
          <w:noProof/>
          <w:szCs w:val="22"/>
        </w:rPr>
        <w:tab/>
      </w:r>
      <w:r>
        <w:rPr>
          <w:noProof/>
        </w:rPr>
        <w:t>Zkouška vodotěsnosti stoky</w:t>
      </w:r>
      <w:r>
        <w:rPr>
          <w:noProof/>
        </w:rPr>
        <w:tab/>
      </w:r>
      <w:r w:rsidR="00895BB4">
        <w:rPr>
          <w:noProof/>
        </w:rPr>
        <w:fldChar w:fldCharType="begin"/>
      </w:r>
      <w:r>
        <w:rPr>
          <w:noProof/>
        </w:rPr>
        <w:instrText xml:space="preserve"> PAGEREF _Toc531755798 \h </w:instrText>
      </w:r>
      <w:r w:rsidR="00895BB4">
        <w:rPr>
          <w:noProof/>
        </w:rPr>
      </w:r>
      <w:r w:rsidR="00895BB4">
        <w:rPr>
          <w:noProof/>
        </w:rPr>
        <w:fldChar w:fldCharType="separate"/>
      </w:r>
      <w:r w:rsidR="0090069E">
        <w:rPr>
          <w:noProof/>
        </w:rPr>
        <w:t>11</w:t>
      </w:r>
      <w:r w:rsidR="00895BB4">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noProof/>
        </w:rPr>
        <w:t>5.2</w:t>
      </w:r>
      <w:r>
        <w:rPr>
          <w:rFonts w:asciiTheme="minorHAnsi" w:eastAsiaTheme="minorEastAsia" w:hAnsiTheme="minorHAnsi" w:cstheme="minorBidi"/>
          <w:b w:val="0"/>
          <w:noProof/>
          <w:szCs w:val="22"/>
        </w:rPr>
        <w:tab/>
      </w:r>
      <w:r>
        <w:rPr>
          <w:noProof/>
        </w:rPr>
        <w:t>Tlaková zkouška</w:t>
      </w:r>
      <w:r>
        <w:rPr>
          <w:noProof/>
        </w:rPr>
        <w:tab/>
      </w:r>
      <w:r w:rsidR="00895BB4">
        <w:rPr>
          <w:noProof/>
        </w:rPr>
        <w:fldChar w:fldCharType="begin"/>
      </w:r>
      <w:r>
        <w:rPr>
          <w:noProof/>
        </w:rPr>
        <w:instrText xml:space="preserve"> PAGEREF _Toc531755799 \h </w:instrText>
      </w:r>
      <w:r w:rsidR="00895BB4">
        <w:rPr>
          <w:noProof/>
        </w:rPr>
      </w:r>
      <w:r w:rsidR="00895BB4">
        <w:rPr>
          <w:noProof/>
        </w:rPr>
        <w:fldChar w:fldCharType="separate"/>
      </w:r>
      <w:r w:rsidR="0090069E">
        <w:rPr>
          <w:noProof/>
        </w:rPr>
        <w:t>11</w:t>
      </w:r>
      <w:r w:rsidR="00895BB4">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6.</w:t>
      </w:r>
      <w:r>
        <w:rPr>
          <w:rFonts w:asciiTheme="minorHAnsi" w:eastAsiaTheme="minorEastAsia" w:hAnsiTheme="minorHAnsi" w:cstheme="minorBidi"/>
          <w:b w:val="0"/>
          <w:i w:val="0"/>
          <w:noProof/>
          <w:sz w:val="22"/>
          <w:szCs w:val="22"/>
        </w:rPr>
        <w:tab/>
      </w:r>
      <w:r>
        <w:rPr>
          <w:noProof/>
        </w:rPr>
        <w:t>Kontrolní prohlídka stavby</w:t>
      </w:r>
      <w:r>
        <w:rPr>
          <w:noProof/>
        </w:rPr>
        <w:tab/>
      </w:r>
      <w:r w:rsidR="00895BB4">
        <w:rPr>
          <w:noProof/>
        </w:rPr>
        <w:fldChar w:fldCharType="begin"/>
      </w:r>
      <w:r>
        <w:rPr>
          <w:noProof/>
        </w:rPr>
        <w:instrText xml:space="preserve"> PAGEREF _Toc531755800 \h </w:instrText>
      </w:r>
      <w:r w:rsidR="00895BB4">
        <w:rPr>
          <w:noProof/>
        </w:rPr>
      </w:r>
      <w:r w:rsidR="00895BB4">
        <w:rPr>
          <w:noProof/>
        </w:rPr>
        <w:fldChar w:fldCharType="separate"/>
      </w:r>
      <w:r w:rsidR="0090069E">
        <w:rPr>
          <w:noProof/>
        </w:rPr>
        <w:t>11</w:t>
      </w:r>
      <w:r w:rsidR="00895BB4">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7.</w:t>
      </w:r>
      <w:r>
        <w:rPr>
          <w:rFonts w:asciiTheme="minorHAnsi" w:eastAsiaTheme="minorEastAsia" w:hAnsiTheme="minorHAnsi" w:cstheme="minorBidi"/>
          <w:b w:val="0"/>
          <w:i w:val="0"/>
          <w:noProof/>
          <w:sz w:val="22"/>
          <w:szCs w:val="22"/>
        </w:rPr>
        <w:tab/>
      </w:r>
      <w:r>
        <w:rPr>
          <w:noProof/>
        </w:rPr>
        <w:t>Upozornění pro investora a dodavatele stavby:</w:t>
      </w:r>
      <w:r>
        <w:rPr>
          <w:noProof/>
        </w:rPr>
        <w:tab/>
      </w:r>
      <w:r w:rsidR="00895BB4">
        <w:rPr>
          <w:noProof/>
        </w:rPr>
        <w:fldChar w:fldCharType="begin"/>
      </w:r>
      <w:r>
        <w:rPr>
          <w:noProof/>
        </w:rPr>
        <w:instrText xml:space="preserve"> PAGEREF _Toc531755801 \h </w:instrText>
      </w:r>
      <w:r w:rsidR="00895BB4">
        <w:rPr>
          <w:noProof/>
        </w:rPr>
      </w:r>
      <w:r w:rsidR="00895BB4">
        <w:rPr>
          <w:noProof/>
        </w:rPr>
        <w:fldChar w:fldCharType="separate"/>
      </w:r>
      <w:r w:rsidR="0090069E">
        <w:rPr>
          <w:noProof/>
        </w:rPr>
        <w:t>12</w:t>
      </w:r>
      <w:r w:rsidR="00895BB4">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8.</w:t>
      </w:r>
      <w:r>
        <w:rPr>
          <w:rFonts w:asciiTheme="minorHAnsi" w:eastAsiaTheme="minorEastAsia" w:hAnsiTheme="minorHAnsi" w:cstheme="minorBidi"/>
          <w:b w:val="0"/>
          <w:i w:val="0"/>
          <w:noProof/>
          <w:sz w:val="22"/>
          <w:szCs w:val="22"/>
        </w:rPr>
        <w:tab/>
      </w:r>
      <w:r>
        <w:rPr>
          <w:noProof/>
        </w:rPr>
        <w:t>Závěr</w:t>
      </w:r>
      <w:r>
        <w:rPr>
          <w:noProof/>
        </w:rPr>
        <w:tab/>
      </w:r>
      <w:r w:rsidR="00895BB4">
        <w:rPr>
          <w:noProof/>
        </w:rPr>
        <w:fldChar w:fldCharType="begin"/>
      </w:r>
      <w:r>
        <w:rPr>
          <w:noProof/>
        </w:rPr>
        <w:instrText xml:space="preserve"> PAGEREF _Toc531755802 \h </w:instrText>
      </w:r>
      <w:r w:rsidR="00895BB4">
        <w:rPr>
          <w:noProof/>
        </w:rPr>
      </w:r>
      <w:r w:rsidR="00895BB4">
        <w:rPr>
          <w:noProof/>
        </w:rPr>
        <w:fldChar w:fldCharType="separate"/>
      </w:r>
      <w:r w:rsidR="0090069E">
        <w:rPr>
          <w:noProof/>
        </w:rPr>
        <w:t>12</w:t>
      </w:r>
      <w:r w:rsidR="00895BB4">
        <w:rPr>
          <w:noProof/>
        </w:rPr>
        <w:fldChar w:fldCharType="end"/>
      </w:r>
    </w:p>
    <w:p w:rsidR="00321EA7" w:rsidRDefault="00895BB4">
      <w:pPr>
        <w:spacing w:before="120"/>
        <w:ind w:firstLine="0"/>
        <w:rPr>
          <w:b/>
          <w:i/>
          <w:sz w:val="28"/>
          <w:u w:val="single"/>
        </w:rPr>
      </w:pPr>
      <w:r>
        <w:rPr>
          <w:b/>
          <w:i/>
          <w:sz w:val="28"/>
          <w:u w:val="single"/>
        </w:rPr>
        <w:fldChar w:fldCharType="end"/>
      </w: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D67849" w:rsidRDefault="00D67849">
      <w:pPr>
        <w:spacing w:before="120"/>
        <w:ind w:firstLine="0"/>
        <w:rPr>
          <w:b/>
          <w:i/>
          <w:sz w:val="28"/>
          <w:u w:val="single"/>
        </w:rPr>
      </w:pPr>
    </w:p>
    <w:p w:rsidR="00D67849" w:rsidRDefault="00D67849">
      <w:pPr>
        <w:spacing w:before="120"/>
        <w:ind w:firstLine="0"/>
        <w:rPr>
          <w:b/>
          <w:i/>
          <w:sz w:val="28"/>
          <w:u w:val="single"/>
        </w:rPr>
      </w:pPr>
    </w:p>
    <w:p w:rsidR="00D67849" w:rsidRDefault="00D67849">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321EA7" w:rsidRDefault="00321EA7">
      <w:pPr>
        <w:jc w:val="center"/>
        <w:rPr>
          <w:b/>
          <w:sz w:val="28"/>
          <w:u w:val="single"/>
        </w:rPr>
      </w:pPr>
    </w:p>
    <w:p w:rsidR="0072550B" w:rsidRPr="0072550B" w:rsidRDefault="0072550B" w:rsidP="00560AC1">
      <w:pPr>
        <w:pStyle w:val="Nadpis1"/>
        <w:jc w:val="center"/>
      </w:pPr>
      <w:bookmarkStart w:id="0" w:name="_Toc531755780"/>
      <w:r>
        <w:lastRenderedPageBreak/>
        <w:t>T E C H N I C K Á  Z P R Á V A</w:t>
      </w:r>
      <w:bookmarkEnd w:id="0"/>
    </w:p>
    <w:p w:rsidR="00321EA7" w:rsidRDefault="00321EA7">
      <w:pPr>
        <w:rPr>
          <w:u w:val="single"/>
        </w:rPr>
      </w:pPr>
    </w:p>
    <w:p w:rsidR="00E14A56" w:rsidRPr="00E14A56" w:rsidRDefault="00E14A56" w:rsidP="0041108C">
      <w:pPr>
        <w:pStyle w:val="Nadpis2"/>
      </w:pPr>
      <w:bookmarkStart w:id="1" w:name="_Toc409601643"/>
      <w:bookmarkStart w:id="2" w:name="_Toc430160337"/>
      <w:bookmarkStart w:id="3" w:name="_Toc531755781"/>
      <w:r w:rsidRPr="00E14A56">
        <w:t>Požadavky na postup stavebních a montážních prací</w:t>
      </w:r>
      <w:bookmarkEnd w:id="1"/>
      <w:bookmarkEnd w:id="2"/>
      <w:bookmarkEnd w:id="3"/>
    </w:p>
    <w:p w:rsidR="00E14A56" w:rsidRPr="00E14A56" w:rsidRDefault="00E14A56" w:rsidP="00E14A56">
      <w:pPr>
        <w:ind w:left="284" w:firstLine="283"/>
      </w:pPr>
    </w:p>
    <w:p w:rsidR="00E14A56" w:rsidRPr="00E14A56" w:rsidRDefault="00E14A56" w:rsidP="00E14A56">
      <w:pPr>
        <w:ind w:left="284" w:firstLine="283"/>
      </w:pPr>
      <w:r w:rsidRPr="00E14A56">
        <w:t xml:space="preserve">Na   celé zájmové území, bylo požádáno o vyjádření správců inž.sítí. Vyjádření jsou v dokladové části PD.  V PD jsou uloženy </w:t>
      </w:r>
      <w:r w:rsidR="00260B67">
        <w:t xml:space="preserve">trasy kabelů a plynu </w:t>
      </w:r>
      <w:r w:rsidRPr="00E14A56">
        <w:t>na základě digitálních podkladů. V zájmovém území se nacházejí kabely NN,VN, kabely O2, vodovodní řady a přípojky, kanalizační přípojky a plynové potrubí</w:t>
      </w:r>
      <w:r w:rsidR="003823AE">
        <w:t xml:space="preserve"> včetně plynových přípojek</w:t>
      </w:r>
      <w:r w:rsidRPr="00E14A56">
        <w:t>.</w:t>
      </w:r>
    </w:p>
    <w:p w:rsidR="00E14A56" w:rsidRDefault="00E14A56" w:rsidP="0041108C">
      <w:pPr>
        <w:pStyle w:val="Nadpis2"/>
      </w:pPr>
      <w:bookmarkStart w:id="4" w:name="_Toc430160338"/>
      <w:bookmarkStart w:id="5" w:name="_Toc531755782"/>
      <w:r w:rsidRPr="00E14A56">
        <w:t>Popis stavby:</w:t>
      </w:r>
      <w:bookmarkEnd w:id="4"/>
      <w:bookmarkEnd w:id="5"/>
    </w:p>
    <w:p w:rsidR="00D179A2" w:rsidRDefault="00D179A2" w:rsidP="0041108C">
      <w:pPr>
        <w:pStyle w:val="Nadpis3"/>
      </w:pPr>
      <w:bookmarkStart w:id="6" w:name="_Toc531755783"/>
      <w:r>
        <w:t>Vodovod</w:t>
      </w:r>
      <w:bookmarkEnd w:id="6"/>
    </w:p>
    <w:p w:rsidR="00F65E51" w:rsidRDefault="00D179A2" w:rsidP="0092595E">
      <w:pPr>
        <w:jc w:val="left"/>
      </w:pPr>
      <w:r>
        <w:t xml:space="preserve">Stávající vodovod v ulici </w:t>
      </w:r>
      <w:r w:rsidR="00F65E51">
        <w:t xml:space="preserve">Ulrichova </w:t>
      </w:r>
      <w:r>
        <w:t>je označení v pasportu jako řad „</w:t>
      </w:r>
      <w:r w:rsidR="00F65E51">
        <w:t>K25</w:t>
      </w:r>
      <w:r w:rsidR="00D67849">
        <w:t xml:space="preserve">“ z litinového </w:t>
      </w:r>
      <w:r w:rsidR="00F2356F">
        <w:t>potrubí</w:t>
      </w:r>
      <w:r w:rsidR="00D67849">
        <w:t xml:space="preserve"> DN </w:t>
      </w:r>
      <w:r w:rsidR="00F65E51">
        <w:t>8</w:t>
      </w:r>
      <w:r w:rsidR="00D67849">
        <w:t xml:space="preserve">0 mm, </w:t>
      </w:r>
      <w:r w:rsidR="00F65E51">
        <w:t xml:space="preserve">který je napojen v ulici Vlašimská na řad J5 L DN 80 mm. Dále propojení </w:t>
      </w:r>
      <w:r w:rsidR="0048638D">
        <w:t xml:space="preserve">je a </w:t>
      </w:r>
      <w:r w:rsidR="00F65E51">
        <w:t>bude do ulice Alšova</w:t>
      </w:r>
      <w:r w:rsidR="00414AB2">
        <w:t xml:space="preserve">, Vančurova, Čapkova a pokračuje ulicí Ulrichova ke stávajícímu podzemnímu hydrant, </w:t>
      </w:r>
      <w:r w:rsidR="0048638D">
        <w:t xml:space="preserve">dále až do ulice Hrázkého, </w:t>
      </w:r>
      <w:r w:rsidR="00414AB2">
        <w:t xml:space="preserve">kde dojde k propojení těchto vodovodních řadů. </w:t>
      </w:r>
    </w:p>
    <w:p w:rsidR="00DD3921" w:rsidRDefault="00DD3921" w:rsidP="0092595E">
      <w:pPr>
        <w:jc w:val="left"/>
      </w:pPr>
      <w:r>
        <w:t xml:space="preserve">Nový vodovodní řad K25 bude nahrazen litinovým potrubím DN 100 mm, které bude vyměněno až za ulici Čapkova a to </w:t>
      </w:r>
      <w:r w:rsidR="00414AB2">
        <w:t>v </w:t>
      </w:r>
      <w:r w:rsidR="004B73A0">
        <w:t>této 3. etapě</w:t>
      </w:r>
      <w:r>
        <w:t xml:space="preserve">rekonstrukce kanalizace a vodovodu. Tímto větším profilem bude tato jižní část města Benešova dostatečně zásobována pitnou vodovou. </w:t>
      </w:r>
    </w:p>
    <w:p w:rsidR="00720E34" w:rsidRDefault="009B4C8B" w:rsidP="0092595E">
      <w:pPr>
        <w:jc w:val="left"/>
      </w:pPr>
      <w:r>
        <w:t xml:space="preserve">Rekonstrukce vodovodního řadu </w:t>
      </w:r>
      <w:r w:rsidR="00DD3921">
        <w:t>K25</w:t>
      </w:r>
      <w:r>
        <w:t xml:space="preserve">-DN </w:t>
      </w:r>
      <w:r w:rsidR="00DD3921">
        <w:t>10</w:t>
      </w:r>
      <w:r>
        <w:t xml:space="preserve">0 mm-délka </w:t>
      </w:r>
      <w:r w:rsidR="00260B67">
        <w:t>9</w:t>
      </w:r>
      <w:r w:rsidR="00414AB2">
        <w:t>1</w:t>
      </w:r>
      <w:r w:rsidR="00260B67">
        <w:t xml:space="preserve"> m – </w:t>
      </w:r>
      <w:r w:rsidR="00414AB2">
        <w:t>3</w:t>
      </w:r>
      <w:r w:rsidR="00260B67">
        <w:t>. část</w:t>
      </w:r>
      <w:r>
        <w:t>.</w:t>
      </w:r>
    </w:p>
    <w:p w:rsidR="009B4C8B" w:rsidRDefault="009B4C8B" w:rsidP="0092595E">
      <w:pPr>
        <w:jc w:val="left"/>
      </w:pPr>
      <w:r>
        <w:t>Veškerá litinová potrubí jsou navržena z tvárné litiny</w:t>
      </w:r>
      <w:r w:rsidR="00DD3921">
        <w:t>, včetně litinových tvarovek.</w:t>
      </w:r>
    </w:p>
    <w:p w:rsidR="007747BC" w:rsidRPr="007747BC" w:rsidRDefault="007747BC" w:rsidP="0092595E">
      <w:pPr>
        <w:pStyle w:val="Nadpis3"/>
        <w:jc w:val="left"/>
      </w:pPr>
      <w:bookmarkStart w:id="7" w:name="_Toc531755784"/>
      <w:r>
        <w:t>Kanalizace</w:t>
      </w:r>
      <w:bookmarkEnd w:id="7"/>
    </w:p>
    <w:p w:rsidR="007747BC" w:rsidRDefault="007747BC" w:rsidP="0092595E">
      <w:pPr>
        <w:pStyle w:val="Zkladntextodsazen"/>
        <w:ind w:left="0" w:firstLine="567"/>
        <w:jc w:val="left"/>
      </w:pPr>
      <w:r>
        <w:t xml:space="preserve">Na základě kamerového </w:t>
      </w:r>
      <w:r w:rsidRPr="00497898">
        <w:t xml:space="preserve">průzkumu </w:t>
      </w:r>
      <w:r w:rsidRPr="00D7185A">
        <w:t>z</w:t>
      </w:r>
      <w:r w:rsidR="00D7185A" w:rsidRPr="00D7185A">
        <w:t> 0</w:t>
      </w:r>
      <w:r w:rsidRPr="00D7185A">
        <w:t>9</w:t>
      </w:r>
      <w:r w:rsidR="00D7185A" w:rsidRPr="00D7185A">
        <w:t>/10/</w:t>
      </w:r>
      <w:r w:rsidRPr="00D7185A">
        <w:t>2017</w:t>
      </w:r>
      <w:r w:rsidRPr="00497898">
        <w:t xml:space="preserve"> j</w:t>
      </w:r>
      <w:r>
        <w:t xml:space="preserve">sou kanalizační stoky </w:t>
      </w:r>
      <w:r w:rsidRPr="00497898">
        <w:t>v</w:t>
      </w:r>
      <w:r>
        <w:t xml:space="preserve"> havarijním stavu, místy propadlá, zanesená sedimenty, kamera místy ani neprojela, V rámci stavby domovní kanalizační a vodovodní </w:t>
      </w:r>
      <w:r w:rsidR="009C0635">
        <w:t>přípojky budou</w:t>
      </w:r>
      <w:r>
        <w:t xml:space="preserve"> přepojeny na nové vodovodní řady a kanalizační stoky.</w:t>
      </w:r>
    </w:p>
    <w:p w:rsidR="007747BC" w:rsidRDefault="007747BC" w:rsidP="0092595E">
      <w:pPr>
        <w:pStyle w:val="Zkladntextodsazen"/>
        <w:ind w:left="0" w:firstLine="567"/>
        <w:jc w:val="left"/>
      </w:pPr>
      <w:r>
        <w:t xml:space="preserve">Na pozemku Města Benešov ulice </w:t>
      </w:r>
      <w:r w:rsidR="00DD3921">
        <w:t xml:space="preserve">Ulrichova </w:t>
      </w:r>
      <w:r>
        <w:t xml:space="preserve">č.parc. </w:t>
      </w:r>
      <w:r w:rsidR="00894124">
        <w:t xml:space="preserve">3340, </w:t>
      </w:r>
      <w:r>
        <w:t>33</w:t>
      </w:r>
      <w:r w:rsidR="00894124">
        <w:t xml:space="preserve">38/1 </w:t>
      </w:r>
      <w:r w:rsidR="00433C65">
        <w:t xml:space="preserve">a </w:t>
      </w:r>
      <w:r w:rsidR="00894124">
        <w:t xml:space="preserve">878/10  </w:t>
      </w:r>
      <w:r>
        <w:t>je uložena stávající gravitační kanalizace „“</w:t>
      </w:r>
      <w:r w:rsidR="00DD3921">
        <w:t>BB</w:t>
      </w:r>
      <w:r>
        <w:t xml:space="preserve">“ DN </w:t>
      </w:r>
      <w:r w:rsidR="00DD3921">
        <w:t xml:space="preserve">500/900 </w:t>
      </w:r>
      <w:r>
        <w:t>je z</w:t>
      </w:r>
      <w:r w:rsidR="00DD3921">
        <w:t> </w:t>
      </w:r>
      <w:r>
        <w:t>betonu</w:t>
      </w:r>
      <w:r w:rsidR="00DD3921">
        <w:t xml:space="preserve">. Dno tohoto vajíčkového profilu je zpevněno keramickým dnem, </w:t>
      </w:r>
      <w:r w:rsidR="00433C65">
        <w:t>který</w:t>
      </w:r>
      <w:r w:rsidR="00DD3921">
        <w:t xml:space="preserve"> je ale také narušeno stářím stoky a tím není zajištěn odtok </w:t>
      </w:r>
      <w:r w:rsidR="00305785">
        <w:t xml:space="preserve">hlavě přívalových dešťů a k občasnému zatopení sklepních prostor. </w:t>
      </w:r>
    </w:p>
    <w:p w:rsidR="00414AB2" w:rsidRDefault="00414AB2" w:rsidP="00260B67">
      <w:pPr>
        <w:pStyle w:val="Zkladntextodsazen"/>
        <w:ind w:left="0" w:firstLine="567"/>
      </w:pPr>
      <w:r>
        <w:t>Rekonstrukce kanalizace v celé ulici Ulrichova je navržena z kameninového kanalizačního potrubí a to DN 800 mm v délce 151 m, dále pokračuje profilem DN 500 mm v délce 106,80 m.</w:t>
      </w:r>
    </w:p>
    <w:p w:rsidR="00414AB2" w:rsidRDefault="00414AB2" w:rsidP="00260B67">
      <w:pPr>
        <w:pStyle w:val="Zkladntextodsazen"/>
        <w:ind w:left="0" w:firstLine="567"/>
      </w:pPr>
      <w:r>
        <w:t>Ve třetí etapě této rekonstrukce jsou navrženy 3 revizní betonové šachty.</w:t>
      </w:r>
    </w:p>
    <w:p w:rsidR="00414AB2" w:rsidRDefault="00414AB2" w:rsidP="00260B67">
      <w:pPr>
        <w:pStyle w:val="Zkladntextodsazen"/>
        <w:ind w:left="0" w:firstLine="567"/>
      </w:pPr>
      <w:r>
        <w:t>Dále jsou zde navrženy nové uliční vpuste v počtu 6 ks.</w:t>
      </w:r>
    </w:p>
    <w:p w:rsidR="00414AB2" w:rsidRDefault="00414AB2" w:rsidP="00260B67">
      <w:pPr>
        <w:pStyle w:val="Zkladntextodsazen"/>
        <w:ind w:left="0" w:firstLine="567"/>
      </w:pPr>
      <w:r>
        <w:t>Je zde také navržena změna směru odtoku odpadních i dešťových vod a to tak, že ulice Čapkova se přepojí do ulice Ulrichova a od</w:t>
      </w:r>
      <w:r w:rsidR="003B10B1">
        <w:t>pojí se kanalizační stoka BC K 3</w:t>
      </w:r>
      <w:r>
        <w:t>00 mm, která je uložena na soukromém pozemku č.parc. 878/21 a 1056/1.</w:t>
      </w:r>
    </w:p>
    <w:p w:rsidR="00D179A2" w:rsidRDefault="00D179A2" w:rsidP="0041108C">
      <w:pPr>
        <w:pStyle w:val="Nadpis3"/>
      </w:pPr>
      <w:bookmarkStart w:id="8" w:name="_Toc527967509"/>
      <w:bookmarkStart w:id="9" w:name="_Toc535563099"/>
      <w:bookmarkStart w:id="10" w:name="_Toc256598638"/>
      <w:bookmarkStart w:id="11" w:name="_Toc262049659"/>
      <w:bookmarkStart w:id="12" w:name="_Toc331594179"/>
      <w:bookmarkStart w:id="13" w:name="_Toc340150139"/>
      <w:bookmarkStart w:id="14" w:name="_Toc341083894"/>
      <w:bookmarkStart w:id="15" w:name="_Toc479661549"/>
      <w:bookmarkStart w:id="16" w:name="_Toc531755785"/>
      <w:r>
        <w:t>Zemní práce</w:t>
      </w:r>
      <w:bookmarkEnd w:id="8"/>
      <w:bookmarkEnd w:id="9"/>
      <w:bookmarkEnd w:id="10"/>
      <w:bookmarkEnd w:id="11"/>
      <w:bookmarkEnd w:id="12"/>
      <w:bookmarkEnd w:id="13"/>
      <w:bookmarkEnd w:id="14"/>
      <w:bookmarkEnd w:id="15"/>
      <w:bookmarkEnd w:id="16"/>
    </w:p>
    <w:p w:rsidR="00D179A2" w:rsidRDefault="00D179A2" w:rsidP="00D179A2">
      <w:pPr>
        <w:pStyle w:val="Zkladntextodsazen"/>
      </w:pPr>
      <w:r>
        <w:t>Zemní práce se budou provádět ve smyslu ČSN 73 3050 - vodovodní a kanalizační potrubí je navrženo pažené rýze</w:t>
      </w:r>
      <w:r w:rsidR="00305785">
        <w:t xml:space="preserve">. Proto že se jedná o hloubky až přes </w:t>
      </w:r>
      <w:r w:rsidR="00414AB2">
        <w:t>4</w:t>
      </w:r>
      <w:r w:rsidR="00305785">
        <w:t xml:space="preserve"> m u kanalizační rýhy – </w:t>
      </w:r>
      <w:r w:rsidR="00D7185A">
        <w:t>budou použity</w:t>
      </w:r>
      <w:r w:rsidR="00305785">
        <w:t xml:space="preserve"> pažící boxy a to v celé délce stavební rýhy </w:t>
      </w:r>
      <w:r w:rsidR="00305785">
        <w:lastRenderedPageBreak/>
        <w:t xml:space="preserve">kanalizační stoky. Vodovodní rekonstrukce bude prováděna do 2 m hloubky-zde bude </w:t>
      </w:r>
      <w:r>
        <w:t xml:space="preserve">pažení příložné. </w:t>
      </w:r>
    </w:p>
    <w:p w:rsidR="00D179A2" w:rsidRDefault="00D179A2" w:rsidP="0041108C">
      <w:pPr>
        <w:pStyle w:val="Nadpis3"/>
      </w:pPr>
      <w:bookmarkStart w:id="17" w:name="_Toc527967510"/>
      <w:bookmarkStart w:id="18" w:name="_Toc535563100"/>
      <w:bookmarkStart w:id="19" w:name="_Toc256598639"/>
      <w:bookmarkStart w:id="20" w:name="_Toc262049660"/>
      <w:bookmarkStart w:id="21" w:name="_Toc331594180"/>
      <w:bookmarkStart w:id="22" w:name="_Toc340150140"/>
      <w:bookmarkStart w:id="23" w:name="_Toc341083895"/>
      <w:bookmarkStart w:id="24" w:name="_Toc479661550"/>
      <w:bookmarkStart w:id="25" w:name="_Toc531755786"/>
      <w:r>
        <w:t>Přípravné práce</w:t>
      </w:r>
      <w:bookmarkEnd w:id="17"/>
      <w:bookmarkEnd w:id="18"/>
      <w:bookmarkEnd w:id="19"/>
      <w:bookmarkEnd w:id="20"/>
      <w:bookmarkEnd w:id="21"/>
      <w:bookmarkEnd w:id="22"/>
      <w:bookmarkEnd w:id="23"/>
      <w:bookmarkEnd w:id="24"/>
      <w:bookmarkEnd w:id="25"/>
    </w:p>
    <w:p w:rsidR="00D179A2" w:rsidRDefault="00D179A2" w:rsidP="00D179A2">
      <w:pPr>
        <w:pStyle w:val="Zkladntextodsazen"/>
      </w:pPr>
      <w:r>
        <w:t xml:space="preserve">Dno rýhy se musí upravit na předepsanou niveletu, dle podélného profilu a provede se vlastní urovnání dna pod potrubí včetně podsypu kamenným prachem o síle </w:t>
      </w:r>
      <w:smartTag w:uri="urn:schemas-microsoft-com:office:smarttags" w:element="metricconverter">
        <w:smartTagPr>
          <w:attr w:name="ProductID" w:val="100 mm"/>
        </w:smartTagPr>
        <w:r>
          <w:t>100 mm</w:t>
        </w:r>
      </w:smartTag>
      <w:r>
        <w:t>.</w:t>
      </w:r>
    </w:p>
    <w:p w:rsidR="00D179A2" w:rsidRDefault="00D179A2" w:rsidP="0041108C">
      <w:pPr>
        <w:pStyle w:val="Nadpis3"/>
      </w:pPr>
      <w:bookmarkStart w:id="26" w:name="_Toc527967511"/>
      <w:bookmarkStart w:id="27" w:name="_Toc535563101"/>
      <w:bookmarkStart w:id="28" w:name="_Toc256598640"/>
      <w:bookmarkStart w:id="29" w:name="_Toc262049661"/>
      <w:bookmarkStart w:id="30" w:name="_Toc331594181"/>
      <w:bookmarkStart w:id="31" w:name="_Toc340150141"/>
      <w:bookmarkStart w:id="32" w:name="_Toc341083896"/>
      <w:bookmarkStart w:id="33" w:name="_Toc479661551"/>
      <w:bookmarkStart w:id="34" w:name="_Toc531755787"/>
      <w:r>
        <w:t>Montáž vodovodních řadů</w:t>
      </w:r>
      <w:bookmarkEnd w:id="26"/>
      <w:bookmarkEnd w:id="27"/>
      <w:bookmarkEnd w:id="28"/>
      <w:bookmarkEnd w:id="29"/>
      <w:bookmarkEnd w:id="30"/>
      <w:bookmarkEnd w:id="31"/>
      <w:bookmarkEnd w:id="32"/>
      <w:bookmarkEnd w:id="33"/>
      <w:bookmarkEnd w:id="34"/>
    </w:p>
    <w:p w:rsidR="00D179A2" w:rsidRDefault="00D179A2" w:rsidP="00D179A2">
      <w:pPr>
        <w:pStyle w:val="Zkladntextodsazen"/>
      </w:pPr>
      <w:r>
        <w:t>Roury se ukládají tak, aby ležely v celé délce zplna v podsypu, je zakázáno roury podkládat pevnými předměty např. cihly nebo hranoly. Dále je nutno dodržet navržené hloubky z podélných profilů, aby nedocházelo k zavzdušnění řadů.</w:t>
      </w:r>
    </w:p>
    <w:p w:rsidR="00D179A2" w:rsidRDefault="00D179A2" w:rsidP="00D179A2">
      <w:pPr>
        <w:pStyle w:val="Zkladntextodsazen"/>
      </w:pPr>
      <w:r>
        <w:t xml:space="preserve">Budou použity tvarovky s cementovou vystélkou. </w:t>
      </w:r>
    </w:p>
    <w:p w:rsidR="00D179A2" w:rsidRDefault="00D179A2" w:rsidP="00D179A2">
      <w:pPr>
        <w:pStyle w:val="Zkladntextodsazen"/>
      </w:pPr>
      <w:r>
        <w:t xml:space="preserve">S montáží vodovodního potrubí se bude </w:t>
      </w:r>
      <w:r w:rsidR="004C1A8A">
        <w:t>při pokládat</w:t>
      </w:r>
      <w:r w:rsidR="00F67BED">
        <w:t xml:space="preserve">jednak vytyčovací vodič a </w:t>
      </w:r>
      <w:r w:rsidR="004C1A8A">
        <w:t xml:space="preserve">ochranná folie, </w:t>
      </w:r>
      <w:r>
        <w:t xml:space="preserve">za účelem možnosti </w:t>
      </w:r>
      <w:r w:rsidR="008B2B77">
        <w:t>upozornění na vodovodní potrubí</w:t>
      </w:r>
      <w:r w:rsidR="00F67BED">
        <w:t xml:space="preserve"> a jeho vlastního vytýčení trasy</w:t>
      </w:r>
      <w:r w:rsidR="008B2B77">
        <w:t xml:space="preserve">. </w:t>
      </w:r>
    </w:p>
    <w:p w:rsidR="00D179A2" w:rsidRDefault="00D179A2" w:rsidP="0041108C">
      <w:pPr>
        <w:pStyle w:val="Nadpis3"/>
      </w:pPr>
      <w:bookmarkStart w:id="35" w:name="_Toc527967512"/>
      <w:bookmarkStart w:id="36" w:name="_Toc535563102"/>
      <w:bookmarkStart w:id="37" w:name="_Toc256598641"/>
      <w:bookmarkStart w:id="38" w:name="_Toc262049662"/>
      <w:bookmarkStart w:id="39" w:name="_Toc331594182"/>
      <w:bookmarkStart w:id="40" w:name="_Toc340150142"/>
      <w:bookmarkStart w:id="41" w:name="_Toc341083897"/>
      <w:bookmarkStart w:id="42" w:name="_Toc479661552"/>
      <w:bookmarkStart w:id="43" w:name="_Toc531755788"/>
      <w:r>
        <w:t>Spojování potrubí</w:t>
      </w:r>
      <w:bookmarkEnd w:id="35"/>
      <w:bookmarkEnd w:id="36"/>
      <w:bookmarkEnd w:id="37"/>
      <w:bookmarkEnd w:id="38"/>
      <w:bookmarkEnd w:id="39"/>
      <w:bookmarkEnd w:id="40"/>
      <w:bookmarkEnd w:id="41"/>
      <w:bookmarkEnd w:id="42"/>
      <w:bookmarkEnd w:id="43"/>
    </w:p>
    <w:p w:rsidR="00D179A2" w:rsidRDefault="00D179A2" w:rsidP="00D179A2">
      <w:pPr>
        <w:pStyle w:val="Zkladntextodsazen"/>
      </w:pPr>
      <w:r>
        <w:t xml:space="preserve">Armatury a tvarovky se spojují jednotlivě v rýze. Těsnicí plochy  litinových přírub a přírubových spojů je třeba před montáží řádně očistit.      </w:t>
      </w:r>
    </w:p>
    <w:p w:rsidR="00D179A2" w:rsidRDefault="00D179A2" w:rsidP="00D179A2">
      <w:pPr>
        <w:ind w:left="284" w:firstLine="283"/>
      </w:pPr>
      <w:r>
        <w:t>Vlastní montáž se nesmí provádět za nižších teplot než</w:t>
      </w:r>
      <w:smartTag w:uri="urn:schemas-microsoft-com:office:smarttags" w:element="metricconverter">
        <w:smartTagPr>
          <w:attr w:name="ProductID" w:val="00 C"/>
        </w:smartTagPr>
        <w:r>
          <w:t>0</w:t>
        </w:r>
        <w:r>
          <w:rPr>
            <w:vertAlign w:val="superscript"/>
          </w:rPr>
          <w:t>0</w:t>
        </w:r>
        <w:r>
          <w:t xml:space="preserve"> C</w:t>
        </w:r>
      </w:smartTag>
      <w:r>
        <w:t xml:space="preserve"> dle ON 73 6632.</w:t>
      </w:r>
    </w:p>
    <w:p w:rsidR="00D179A2" w:rsidRDefault="00D179A2" w:rsidP="00D179A2">
      <w:pPr>
        <w:pStyle w:val="Zkladntextodsazen"/>
      </w:pPr>
      <w:r>
        <w:t xml:space="preserve"> Před tlakovou zkouškou se provede obsyp potrubí tak, aby veškeré spoje jak hrdlové tak přírubové byly viditelné.  Zároveň se provedou opěrné betonové bloky a to na odbočkách - T kusy, u patkových kolen a u oblouků.</w:t>
      </w:r>
    </w:p>
    <w:p w:rsidR="00D179A2" w:rsidRDefault="00D179A2" w:rsidP="0041108C">
      <w:pPr>
        <w:pStyle w:val="Nadpis3"/>
      </w:pPr>
      <w:bookmarkStart w:id="44" w:name="_Toc527967513"/>
      <w:bookmarkStart w:id="45" w:name="_Toc535563103"/>
      <w:bookmarkStart w:id="46" w:name="_Toc256598642"/>
      <w:bookmarkStart w:id="47" w:name="_Toc262049663"/>
      <w:bookmarkStart w:id="48" w:name="_Toc331594183"/>
      <w:bookmarkStart w:id="49" w:name="_Toc340150143"/>
      <w:bookmarkStart w:id="50" w:name="_Toc341083898"/>
      <w:bookmarkStart w:id="51" w:name="_Toc479661553"/>
      <w:bookmarkStart w:id="52" w:name="_Toc531755789"/>
      <w:r>
        <w:t>Tlaková zkouška</w:t>
      </w:r>
      <w:bookmarkEnd w:id="44"/>
      <w:bookmarkEnd w:id="45"/>
      <w:bookmarkEnd w:id="46"/>
      <w:bookmarkEnd w:id="47"/>
      <w:bookmarkEnd w:id="48"/>
      <w:bookmarkEnd w:id="49"/>
      <w:bookmarkEnd w:id="50"/>
      <w:bookmarkEnd w:id="51"/>
      <w:bookmarkEnd w:id="52"/>
    </w:p>
    <w:p w:rsidR="00D179A2" w:rsidRDefault="00D179A2" w:rsidP="00D179A2">
      <w:pPr>
        <w:pStyle w:val="Zkladntextodsazen"/>
      </w:pPr>
      <w:r>
        <w:t xml:space="preserve">Každé tlakové vodovodní potrubí se musí odzkoušet dle ČSN 75 </w:t>
      </w:r>
      <w:smartTag w:uri="urn:schemas-microsoft-com:office:smarttags" w:element="metricconverter">
        <w:smartTagPr>
          <w:attr w:name="ProductID" w:val="5911 a"/>
        </w:smartTagPr>
        <w:r>
          <w:t>5911 a</w:t>
        </w:r>
      </w:smartTag>
      <w:r>
        <w:t xml:space="preserve"> provede se o této zkoušce zápis, zda potrubí vyhovuje. Pak je možno dosypat vynechaná místa pískem.  </w:t>
      </w:r>
    </w:p>
    <w:p w:rsidR="00D179A2" w:rsidRDefault="00D179A2" w:rsidP="0041108C">
      <w:pPr>
        <w:pStyle w:val="Nadpis3"/>
      </w:pPr>
      <w:bookmarkStart w:id="53" w:name="_Toc527967514"/>
      <w:bookmarkStart w:id="54" w:name="_Toc535563104"/>
      <w:bookmarkStart w:id="55" w:name="_Toc256598643"/>
      <w:bookmarkStart w:id="56" w:name="_Toc262049664"/>
      <w:bookmarkStart w:id="57" w:name="_Toc331594184"/>
      <w:bookmarkStart w:id="58" w:name="_Toc340150144"/>
      <w:bookmarkStart w:id="59" w:name="_Toc341083899"/>
      <w:bookmarkStart w:id="60" w:name="_Toc479661554"/>
      <w:bookmarkStart w:id="61" w:name="_Toc531755790"/>
      <w:r>
        <w:t>Označení armatur</w:t>
      </w:r>
      <w:bookmarkEnd w:id="53"/>
      <w:bookmarkEnd w:id="54"/>
      <w:bookmarkEnd w:id="55"/>
      <w:bookmarkEnd w:id="56"/>
      <w:bookmarkEnd w:id="57"/>
      <w:bookmarkEnd w:id="58"/>
      <w:bookmarkEnd w:id="59"/>
      <w:bookmarkEnd w:id="60"/>
      <w:bookmarkEnd w:id="61"/>
    </w:p>
    <w:p w:rsidR="00D179A2" w:rsidRDefault="00D179A2" w:rsidP="00D179A2">
      <w:pPr>
        <w:pStyle w:val="Zkladntextodsazen"/>
      </w:pPr>
      <w:r>
        <w:t xml:space="preserve">Vodárenské armatury je nutno označit tak, aby bylo možné vždy určit jejich přesnou polohu a to především v zimním období, kdy leží sníh.  Na označení se používají </w:t>
      </w:r>
      <w:r w:rsidR="00340888">
        <w:t>orientační tabulky</w:t>
      </w:r>
      <w:r>
        <w:t xml:space="preserve"> podle ON 75 5025. </w:t>
      </w:r>
    </w:p>
    <w:p w:rsidR="00D179A2" w:rsidRDefault="00D179A2" w:rsidP="0041108C">
      <w:pPr>
        <w:pStyle w:val="Nadpis3"/>
      </w:pPr>
      <w:bookmarkStart w:id="62" w:name="_Toc527967515"/>
      <w:bookmarkStart w:id="63" w:name="_Toc535563105"/>
      <w:bookmarkStart w:id="64" w:name="_Toc256598644"/>
      <w:bookmarkStart w:id="65" w:name="_Toc262049665"/>
      <w:bookmarkStart w:id="66" w:name="_Toc331594185"/>
      <w:bookmarkStart w:id="67" w:name="_Toc340150145"/>
      <w:bookmarkStart w:id="68" w:name="_Toc341083900"/>
      <w:bookmarkStart w:id="69" w:name="_Toc479661555"/>
      <w:bookmarkStart w:id="70" w:name="_Toc531755791"/>
      <w:r>
        <w:t>Úpravy povrchu zásypu</w:t>
      </w:r>
      <w:bookmarkEnd w:id="62"/>
      <w:bookmarkEnd w:id="63"/>
      <w:bookmarkEnd w:id="64"/>
      <w:bookmarkEnd w:id="65"/>
      <w:bookmarkEnd w:id="66"/>
      <w:bookmarkEnd w:id="67"/>
      <w:bookmarkEnd w:id="68"/>
      <w:bookmarkEnd w:id="69"/>
      <w:bookmarkEnd w:id="70"/>
    </w:p>
    <w:p w:rsidR="00D179A2" w:rsidRDefault="00D179A2" w:rsidP="00D179A2">
      <w:pPr>
        <w:pStyle w:val="Zkladntextodsazen"/>
      </w:pPr>
      <w:r>
        <w:t xml:space="preserve">Po provedené vyhovující tlakové zkoušce se začne provádět hutněný zásyp rýhy. Minimální tloušťka první vrstvy nad potrubím musí být alespoň </w:t>
      </w:r>
      <w:smartTag w:uri="urn:schemas-microsoft-com:office:smarttags" w:element="metricconverter">
        <w:smartTagPr>
          <w:attr w:name="ProductID" w:val="20 cm"/>
        </w:smartTagPr>
        <w:r>
          <w:t>20 cm</w:t>
        </w:r>
      </w:smartTag>
      <w:r>
        <w:t xml:space="preserve">. Dále se hutní po vrstvách </w:t>
      </w:r>
      <w:smartTag w:uri="urn:schemas-microsoft-com:office:smarttags" w:element="metricconverter">
        <w:smartTagPr>
          <w:attr w:name="ProductID" w:val="20 cm"/>
        </w:smartTagPr>
        <w:r>
          <w:t>20 cm</w:t>
        </w:r>
      </w:smartTag>
      <w:r>
        <w:t xml:space="preserve">.  Usazení poklopů vodárenských armatur se musí spolehlivě osadit do výšky upraveného terénu. Nutno počítat, že </w:t>
      </w:r>
      <w:r w:rsidR="00433C65">
        <w:t>výkop se</w:t>
      </w:r>
      <w:r>
        <w:t xml:space="preserve"> bude dodatečně slehávat, poklopy armatur osadit min. </w:t>
      </w:r>
      <w:smartTag w:uri="urn:schemas-microsoft-com:office:smarttags" w:element="metricconverter">
        <w:smartTagPr>
          <w:attr w:name="ProductID" w:val="20 cm"/>
        </w:smartTagPr>
        <w:r>
          <w:t>20 cm</w:t>
        </w:r>
      </w:smartTag>
      <w:r>
        <w:t xml:space="preserve"> nad zemní soupravy. Veškerý terén se uvede do původního stavu</w:t>
      </w:r>
      <w:r w:rsidR="008C20DF">
        <w:t>-kamenná dlažba</w:t>
      </w:r>
      <w:r>
        <w:t>!!!!!</w:t>
      </w:r>
    </w:p>
    <w:p w:rsidR="0012216A" w:rsidRDefault="00444145" w:rsidP="00D179A2">
      <w:pPr>
        <w:pStyle w:val="Nadpis1"/>
      </w:pPr>
      <w:bookmarkStart w:id="71" w:name="_Toc531755792"/>
      <w:r>
        <w:t>Kanalizace:</w:t>
      </w:r>
      <w:bookmarkEnd w:id="71"/>
    </w:p>
    <w:p w:rsidR="00444145" w:rsidRPr="0012216A" w:rsidRDefault="00444145" w:rsidP="0012216A"/>
    <w:p w:rsidR="004C17FD" w:rsidRDefault="00B449AD" w:rsidP="00E14A56">
      <w:pPr>
        <w:ind w:left="284" w:firstLine="283"/>
      </w:pPr>
      <w:r>
        <w:t>K</w:t>
      </w:r>
      <w:r w:rsidR="00E14A56" w:rsidRPr="00E058F8">
        <w:t>analizační stok</w:t>
      </w:r>
      <w:r>
        <w:t>a v ulici Ulrichova je z vejčitého tvaru a to 500/900</w:t>
      </w:r>
      <w:r w:rsidR="004C17FD">
        <w:t>v délce cca 1</w:t>
      </w:r>
      <w:r w:rsidR="004A0DA0">
        <w:t>52</w:t>
      </w:r>
      <w:r w:rsidR="004C17FD">
        <w:t xml:space="preserve"> m. Dále směrem k ulici Čapkova je beton DN 300 mm.</w:t>
      </w:r>
      <w:r w:rsidR="00414AB2">
        <w:t>J</w:t>
      </w:r>
      <w:r w:rsidR="004A0DA0">
        <w:t>e řešeno v</w:t>
      </w:r>
      <w:r w:rsidR="00414AB2">
        <w:t xml:space="preserve"> této </w:t>
      </w:r>
      <w:r w:rsidR="004A0DA0">
        <w:t>etapě výstavby</w:t>
      </w:r>
      <w:r w:rsidR="009C0B65">
        <w:t xml:space="preserve">, je navržena kamenina DN </w:t>
      </w:r>
      <w:r w:rsidR="00414AB2">
        <w:t>5</w:t>
      </w:r>
      <w:r w:rsidR="009C0B65">
        <w:t>00 mm</w:t>
      </w:r>
      <w:r w:rsidR="00414AB2">
        <w:t xml:space="preserve"> v délce </w:t>
      </w:r>
      <w:r w:rsidR="005B2AFE">
        <w:t>106,80 m</w:t>
      </w:r>
      <w:r w:rsidR="009C0B65">
        <w:t>.</w:t>
      </w:r>
    </w:p>
    <w:p w:rsidR="004C17FD" w:rsidRDefault="004C17FD" w:rsidP="00E14A56">
      <w:pPr>
        <w:ind w:left="284" w:firstLine="283"/>
      </w:pPr>
    </w:p>
    <w:p w:rsidR="00E14A56" w:rsidRPr="00E058F8" w:rsidRDefault="009C0B65" w:rsidP="00E14A56">
      <w:pPr>
        <w:ind w:left="284" w:firstLine="283"/>
      </w:pPr>
      <w:r>
        <w:t>N</w:t>
      </w:r>
      <w:r w:rsidR="00E058F8">
        <w:t xml:space="preserve">avržená </w:t>
      </w:r>
      <w:r w:rsidR="00E14A56" w:rsidRPr="00E058F8">
        <w:t xml:space="preserve">kamenina DN </w:t>
      </w:r>
      <w:r w:rsidR="005B2AFE">
        <w:t>5</w:t>
      </w:r>
      <w:r w:rsidR="00E14A56" w:rsidRPr="00E058F8">
        <w:t xml:space="preserve">00 mm, </w:t>
      </w:r>
      <w:r w:rsidR="00F2356F">
        <w:t xml:space="preserve">včetně </w:t>
      </w:r>
      <w:r w:rsidR="00D7185A">
        <w:t xml:space="preserve">nových </w:t>
      </w:r>
      <w:r w:rsidR="00E14A56" w:rsidRPr="00E058F8">
        <w:t xml:space="preserve">betonových revizních </w:t>
      </w:r>
      <w:r w:rsidR="00E058F8" w:rsidRPr="00E058F8">
        <w:t>š</w:t>
      </w:r>
      <w:r w:rsidR="00E14A56" w:rsidRPr="00E058F8">
        <w:t xml:space="preserve">achet. </w:t>
      </w:r>
      <w:r w:rsidR="00F2356F">
        <w:t xml:space="preserve">Dále se provede výměna </w:t>
      </w:r>
      <w:r w:rsidR="00E14A56" w:rsidRPr="00E058F8">
        <w:t>kanalizačních přípojek a uličních vpustí.</w:t>
      </w:r>
    </w:p>
    <w:p w:rsidR="00E14A56" w:rsidRPr="00E14A56" w:rsidRDefault="00E14A56" w:rsidP="00E14A56">
      <w:pPr>
        <w:ind w:left="284" w:firstLine="283"/>
        <w:rPr>
          <w:b/>
          <w:bCs/>
        </w:rPr>
      </w:pPr>
      <w:r w:rsidRPr="00E14A56">
        <w:t xml:space="preserve">Kamenina </w:t>
      </w:r>
      <w:r w:rsidR="00F2356F">
        <w:t xml:space="preserve">DN </w:t>
      </w:r>
      <w:r w:rsidR="005B2AFE">
        <w:t>5</w:t>
      </w:r>
      <w:r w:rsidR="00F2356F">
        <w:t xml:space="preserve">00 mm </w:t>
      </w:r>
      <w:r w:rsidRPr="00E14A56">
        <w:t xml:space="preserve">se zvýšeným zatížením třída 160, mezní únosnost kN/m 96, spojovací systém C. </w:t>
      </w:r>
    </w:p>
    <w:p w:rsidR="00E14A56" w:rsidRPr="00E14A56" w:rsidRDefault="00E14A56" w:rsidP="00E14A56">
      <w:pPr>
        <w:ind w:left="284" w:firstLine="283"/>
      </w:pPr>
      <w:r w:rsidRPr="00E14A56">
        <w:t xml:space="preserve">Navržená rekonstrukce je </w:t>
      </w:r>
      <w:r w:rsidR="0012216A">
        <w:t xml:space="preserve">ve </w:t>
      </w:r>
      <w:r w:rsidRPr="00E14A56">
        <w:t xml:space="preserve">stejné trase stávající kanalizace </w:t>
      </w:r>
      <w:r w:rsidR="009C0B65">
        <w:t>BB</w:t>
      </w:r>
      <w:r w:rsidRPr="00E14A56">
        <w:t xml:space="preserve">, která je stále v provozu. Tím se napojí veškeré kanalizační přípojky v trase. Z kamerového průzkumu bylo zjištěno, že průměry jednotlivých přípojek jsou od DN </w:t>
      </w:r>
      <w:r w:rsidR="00433C65" w:rsidRPr="00E14A56">
        <w:t>100 – DN200</w:t>
      </w:r>
      <w:r w:rsidRPr="00E14A56">
        <w:t xml:space="preserve"> mm, a v různých úhlech ke směru toku. </w:t>
      </w:r>
    </w:p>
    <w:p w:rsidR="00E14A56" w:rsidRPr="00E14A56" w:rsidRDefault="00E14A56" w:rsidP="00E14A56">
      <w:pPr>
        <w:ind w:left="284" w:firstLine="283"/>
      </w:pPr>
      <w:r w:rsidRPr="00E14A56">
        <w:t>Tyto přípojky budou napojeny bu</w:t>
      </w:r>
      <w:r w:rsidR="009C0B65">
        <w:t>ď originál kameninovou odbočkou</w:t>
      </w:r>
      <w:r w:rsidRPr="00E14A56">
        <w:t xml:space="preserve">. Pokud bude třeba větší profil odbočky, </w:t>
      </w:r>
      <w:r w:rsidR="00D7185A">
        <w:t>bude n</w:t>
      </w:r>
      <w:r w:rsidR="00D7185A" w:rsidRPr="00E14A56">
        <w:t>avrtána</w:t>
      </w:r>
      <w:r w:rsidRPr="00E14A56">
        <w:t>-viz příloha TZ. Odbočky z hlavní kanalizační stoky se musí provést v těch stávajících místech-nel</w:t>
      </w:r>
      <w:r w:rsidR="00DF2A4C">
        <w:t>z</w:t>
      </w:r>
      <w:r w:rsidRPr="00E14A56">
        <w:t>e provádět další boční překopy silnice v ulici.</w:t>
      </w:r>
    </w:p>
    <w:p w:rsidR="00E14A56" w:rsidRPr="00E14A56" w:rsidRDefault="00E14A56" w:rsidP="00E14A56">
      <w:pPr>
        <w:ind w:left="284" w:firstLine="283"/>
      </w:pPr>
      <w:r w:rsidRPr="00E14A56">
        <w:t xml:space="preserve">Ukládání kameninového potrubí bude do stavební rýhy se svislými stěnami. Šířka rýhy je dle ČSN 0,8+D, celkem </w:t>
      </w:r>
      <w:r w:rsidR="009C0B65">
        <w:t>2,5</w:t>
      </w:r>
      <w:r w:rsidRPr="00E14A56">
        <w:t xml:space="preserve"> m, počítáno 2 x 1</w:t>
      </w:r>
      <w:r w:rsidR="008E531B">
        <w:t>0</w:t>
      </w:r>
      <w:r w:rsidRPr="00E14A56">
        <w:t xml:space="preserve"> cm na </w:t>
      </w:r>
      <w:r w:rsidR="009C0B65" w:rsidRPr="00E14A56">
        <w:t>paž</w:t>
      </w:r>
      <w:r w:rsidR="009C0B65">
        <w:t>ící boxy</w:t>
      </w:r>
      <w:r w:rsidR="008E531B">
        <w:t>.</w:t>
      </w:r>
    </w:p>
    <w:p w:rsidR="00E14A56" w:rsidRPr="00E14A56" w:rsidRDefault="00E14A56" w:rsidP="00E14A56">
      <w:pPr>
        <w:ind w:left="284" w:firstLine="283"/>
      </w:pPr>
      <w:r w:rsidRPr="00E14A56">
        <w:t>Je třeba počítat, že stále bud</w:t>
      </w:r>
      <w:r w:rsidR="00720E34">
        <w:t>ou</w:t>
      </w:r>
      <w:r w:rsidRPr="00E14A56">
        <w:t xml:space="preserve"> přitékat odpadní vody ze stávající stoky, bude nutné tuto stoku na nezbytně nutnou dobu uzavřít, pomocí nafukovacích vaků. Po uložení kameninové trouby do betonového sedla, se provede provizorní propojení stávající stoky s uloženou troubou, a tím nebude docházet k odplavování betonové směsi pod rourou.</w:t>
      </w:r>
    </w:p>
    <w:p w:rsidR="00E14A56" w:rsidRPr="00E14A56" w:rsidRDefault="00E14A56" w:rsidP="00E14A56">
      <w:pPr>
        <w:ind w:left="284" w:firstLine="283"/>
      </w:pPr>
      <w:r w:rsidRPr="00E14A56">
        <w:t>Betonové sedlo pod potrubí bude v šířce výkopu, dle vzorového řezu ukládání kameniny-úhel 120 st.</w:t>
      </w:r>
    </w:p>
    <w:p w:rsidR="00E14A56" w:rsidRPr="00E14A56" w:rsidRDefault="00E14A56" w:rsidP="00E14A56">
      <w:pPr>
        <w:ind w:left="284" w:firstLine="283"/>
      </w:pPr>
      <w:r w:rsidRPr="00E14A56">
        <w:t xml:space="preserve">Veškerá vytlačená kubatura se odveze na řízenou skládku. </w:t>
      </w:r>
    </w:p>
    <w:p w:rsidR="00DB68D0" w:rsidRDefault="00E14A56" w:rsidP="00DB68D0">
      <w:pPr>
        <w:pStyle w:val="Nadpis2"/>
      </w:pPr>
      <w:bookmarkStart w:id="72" w:name="_Toc115754127"/>
      <w:bookmarkStart w:id="73" w:name="_Toc120978273"/>
      <w:bookmarkStart w:id="74" w:name="_Toc137977646"/>
      <w:bookmarkStart w:id="75" w:name="_Toc285550809"/>
      <w:bookmarkStart w:id="76" w:name="_Toc338677098"/>
      <w:bookmarkStart w:id="77" w:name="_Toc409601646"/>
      <w:bookmarkStart w:id="78" w:name="_Toc430160339"/>
      <w:bookmarkStart w:id="79" w:name="_Toc531755793"/>
      <w:r w:rsidRPr="00E14A56">
        <w:t>Šachty</w:t>
      </w:r>
      <w:bookmarkEnd w:id="72"/>
      <w:bookmarkEnd w:id="73"/>
      <w:bookmarkEnd w:id="74"/>
      <w:bookmarkEnd w:id="75"/>
      <w:bookmarkEnd w:id="76"/>
      <w:bookmarkEnd w:id="77"/>
      <w:bookmarkEnd w:id="78"/>
      <w:bookmarkEnd w:id="79"/>
    </w:p>
    <w:p w:rsidR="006B715C" w:rsidRPr="006B715C" w:rsidRDefault="006B715C" w:rsidP="006B715C"/>
    <w:p w:rsidR="00E14A56" w:rsidRPr="00E14A56" w:rsidRDefault="00E14A56" w:rsidP="00E14A56">
      <w:pPr>
        <w:ind w:firstLine="426"/>
        <w:rPr>
          <w:color w:val="FF0000"/>
        </w:rPr>
      </w:pPr>
      <w:r w:rsidRPr="00E14A56">
        <w:t>Šachta je vytvořena z betonových dílců a to z šachetního dna, skruže různých stavebních výšek, přechodová skruž a litinový poklop s litinovým rámem bez odvětrání typ D 400 GU-B-K. Viz tabulka šachet.</w:t>
      </w:r>
    </w:p>
    <w:p w:rsidR="00A61C3A" w:rsidRDefault="00E14A56" w:rsidP="00E14A56">
      <w:pPr>
        <w:ind w:firstLine="426"/>
      </w:pPr>
      <w:r w:rsidRPr="00E14A56">
        <w:t xml:space="preserve">Poklopy jsou osazeny do stávající úrovně </w:t>
      </w:r>
      <w:r w:rsidR="00720E34">
        <w:t xml:space="preserve">nivelety </w:t>
      </w:r>
      <w:r w:rsidRPr="00E14A56">
        <w:t>komunikace</w:t>
      </w:r>
      <w:r w:rsidR="00720E34">
        <w:t>.</w:t>
      </w:r>
    </w:p>
    <w:p w:rsidR="006B715C" w:rsidRDefault="006B715C" w:rsidP="006B715C">
      <w:pPr>
        <w:pStyle w:val="Nadpis2"/>
      </w:pPr>
      <w:r>
        <w:t>Návrh profilu potrubí</w:t>
      </w:r>
    </w:p>
    <w:p w:rsidR="006B715C" w:rsidRPr="00DB68D0" w:rsidRDefault="006B715C" w:rsidP="006B715C"/>
    <w:p w:rsidR="006B715C" w:rsidRDefault="006B715C" w:rsidP="006B715C">
      <w:pPr>
        <w:ind w:firstLine="426"/>
      </w:pPr>
      <w:r>
        <w:t>Stávající vejčitý tvar stoky BB v ulici Ulrichova je uveden jako zděný, ve skutečnosti je betonový 500/900 mm. Dle kamerového průzkumu jsou stěny značně narušené a rozpadají se, tím je i větší odtokový odpor.</w:t>
      </w:r>
    </w:p>
    <w:p w:rsidR="006B715C" w:rsidRDefault="006B715C" w:rsidP="006B715C">
      <w:pPr>
        <w:ind w:firstLine="426"/>
      </w:pPr>
      <w:r>
        <w:t xml:space="preserve">Plocha stávající vejčitého betonového tvaru je 0,353 m2, plocha návrhu </w:t>
      </w:r>
    </w:p>
    <w:p w:rsidR="006B715C" w:rsidRDefault="003B10B1" w:rsidP="006B715C">
      <w:pPr>
        <w:ind w:firstLine="426"/>
      </w:pPr>
      <w:r>
        <w:t>KAM DN 5</w:t>
      </w:r>
      <w:r w:rsidR="006B715C">
        <w:t xml:space="preserve">00  – </w:t>
      </w:r>
      <w:r>
        <w:t>vypočtený průtok je od 69,25 – 241,02</w:t>
      </w:r>
      <w:r w:rsidR="006B715C">
        <w:t xml:space="preserve"> l/s, rychlost </w:t>
      </w:r>
      <w:r>
        <w:t>2,45 – 2,55</w:t>
      </w:r>
      <w:r w:rsidR="006B715C">
        <w:t xml:space="preserve"> m/s.</w:t>
      </w:r>
    </w:p>
    <w:p w:rsidR="006B715C" w:rsidRDefault="006B715C" w:rsidP="006B715C">
      <w:pPr>
        <w:ind w:firstLine="426"/>
      </w:pPr>
      <w:r>
        <w:t xml:space="preserve">Odtok dle hydrotechnických výpočtů jednotlivých povodí v této části města je </w:t>
      </w:r>
      <w:r w:rsidR="003B10B1">
        <w:t>241,02</w:t>
      </w:r>
      <w:r>
        <w:t xml:space="preserve"> l/sec, a tento průtok je navržen profil potrubí. K tomuto výpočtu je nutné ještě připočítat část domovních kanalizačních přípojek. Při porovnání průtoku skutečného a výpočtového je zde</w:t>
      </w:r>
      <w:r w:rsidR="003B10B1">
        <w:t xml:space="preserve"> rezerva ještě 45 % profilu DN 5</w:t>
      </w:r>
      <w:r>
        <w:t>00 mm.</w:t>
      </w:r>
    </w:p>
    <w:p w:rsidR="003B10B1" w:rsidRDefault="003B10B1" w:rsidP="006B715C">
      <w:pPr>
        <w:ind w:firstLine="426"/>
      </w:pPr>
    </w:p>
    <w:p w:rsidR="003B10B1" w:rsidRDefault="003B10B1" w:rsidP="006B715C">
      <w:pPr>
        <w:ind w:firstLine="426"/>
      </w:pPr>
    </w:p>
    <w:p w:rsidR="003B10B1" w:rsidRDefault="003B10B1" w:rsidP="006B715C">
      <w:pPr>
        <w:ind w:firstLine="426"/>
      </w:pPr>
    </w:p>
    <w:p w:rsidR="003B10B1" w:rsidRDefault="003B10B1" w:rsidP="006B715C">
      <w:pPr>
        <w:ind w:firstLine="426"/>
      </w:pPr>
    </w:p>
    <w:p w:rsidR="003B10B1" w:rsidRDefault="003B10B1" w:rsidP="006B715C">
      <w:pPr>
        <w:ind w:firstLine="426"/>
      </w:pPr>
    </w:p>
    <w:p w:rsidR="006B715C" w:rsidRDefault="006B715C" w:rsidP="00E14A56">
      <w:pPr>
        <w:ind w:firstLine="426"/>
      </w:pPr>
    </w:p>
    <w:p w:rsidR="00D7185A" w:rsidRDefault="00A61C3A" w:rsidP="00D7185A">
      <w:pPr>
        <w:pStyle w:val="Nadpis1"/>
      </w:pPr>
      <w:bookmarkStart w:id="80" w:name="_Toc531755794"/>
      <w:r w:rsidRPr="00A61C3A">
        <w:lastRenderedPageBreak/>
        <w:t>Výpočet odtoku: BN</w:t>
      </w:r>
      <w:r w:rsidR="003B10B1">
        <w:t xml:space="preserve"> – </w:t>
      </w:r>
      <w:r w:rsidR="00727C30">
        <w:t>Ul</w:t>
      </w:r>
      <w:r w:rsidR="006B715C">
        <w:t>r</w:t>
      </w:r>
      <w:r w:rsidR="00727C30">
        <w:t>ichovaul.</w:t>
      </w:r>
      <w:r w:rsidRPr="00A61C3A">
        <w:t>- dešťová kanalizace</w:t>
      </w:r>
      <w:bookmarkEnd w:id="80"/>
    </w:p>
    <w:p w:rsidR="00923EBA" w:rsidRPr="00923EBA" w:rsidRDefault="00923EBA" w:rsidP="00923EBA"/>
    <w:p w:rsidR="002958A7" w:rsidRDefault="002958A7" w:rsidP="002958A7"/>
    <w:tbl>
      <w:tblPr>
        <w:tblW w:w="9440" w:type="dxa"/>
        <w:tblInd w:w="53" w:type="dxa"/>
        <w:tblCellMar>
          <w:left w:w="70" w:type="dxa"/>
          <w:right w:w="70" w:type="dxa"/>
        </w:tblCellMar>
        <w:tblLook w:val="04A0"/>
      </w:tblPr>
      <w:tblGrid>
        <w:gridCol w:w="691"/>
        <w:gridCol w:w="2915"/>
        <w:gridCol w:w="722"/>
        <w:gridCol w:w="916"/>
        <w:gridCol w:w="875"/>
        <w:gridCol w:w="1890"/>
        <w:gridCol w:w="722"/>
        <w:gridCol w:w="712"/>
      </w:tblGrid>
      <w:tr w:rsidR="00923EBA" w:rsidRPr="00923EBA" w:rsidTr="00923EBA">
        <w:trPr>
          <w:trHeight w:val="360"/>
        </w:trPr>
        <w:tc>
          <w:tcPr>
            <w:tcW w:w="9440" w:type="dxa"/>
            <w:gridSpan w:val="8"/>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8"/>
                <w:szCs w:val="28"/>
              </w:rPr>
            </w:pPr>
            <w:r w:rsidRPr="00923EBA">
              <w:rPr>
                <w:rFonts w:ascii="Arial CE" w:hAnsi="Arial CE" w:cs="Arial CE"/>
                <w:b/>
                <w:bCs/>
                <w:sz w:val="28"/>
                <w:szCs w:val="28"/>
              </w:rPr>
              <w:t>Výpočet odtoku: BN-Ulrichova ul.-dešťová kanalizace</w:t>
            </w:r>
          </w:p>
        </w:tc>
      </w:tr>
      <w:tr w:rsidR="00923EBA" w:rsidRPr="00923EBA" w:rsidTr="00923EBA">
        <w:trPr>
          <w:trHeight w:val="255"/>
        </w:trPr>
        <w:tc>
          <w:tcPr>
            <w:tcW w:w="6037" w:type="dxa"/>
            <w:gridSpan w:val="5"/>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Redukční odtokové součinitele pro výsledný návrh</w:t>
            </w: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single" w:sz="4" w:space="0" w:color="auto"/>
              <w:left w:val="single" w:sz="4" w:space="0" w:color="auto"/>
              <w:bottom w:val="nil"/>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Číslo</w:t>
            </w:r>
          </w:p>
        </w:tc>
        <w:tc>
          <w:tcPr>
            <w:tcW w:w="3163" w:type="dxa"/>
            <w:tcBorders>
              <w:top w:val="single" w:sz="4" w:space="0" w:color="auto"/>
              <w:left w:val="nil"/>
              <w:bottom w:val="nil"/>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       Způsob zastavění a druh pozemku </w:t>
            </w:r>
          </w:p>
        </w:tc>
        <w:tc>
          <w:tcPr>
            <w:tcW w:w="608" w:type="dxa"/>
            <w:tcBorders>
              <w:top w:val="single" w:sz="4" w:space="0" w:color="auto"/>
              <w:left w:val="nil"/>
              <w:bottom w:val="nil"/>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99" w:type="dxa"/>
            <w:tcBorders>
              <w:top w:val="single" w:sz="4" w:space="0" w:color="auto"/>
              <w:left w:val="nil"/>
              <w:bottom w:val="nil"/>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890" w:type="dxa"/>
            <w:tcBorders>
              <w:top w:val="single" w:sz="4" w:space="0" w:color="auto"/>
              <w:left w:val="nil"/>
              <w:bottom w:val="nil"/>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          Konfigurace území</w:t>
            </w:r>
          </w:p>
        </w:tc>
        <w:tc>
          <w:tcPr>
            <w:tcW w:w="608" w:type="dxa"/>
            <w:tcBorders>
              <w:top w:val="single" w:sz="4" w:space="0" w:color="auto"/>
              <w:left w:val="nil"/>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49"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r>
      <w:tr w:rsidR="00923EBA" w:rsidRPr="00923EBA" w:rsidTr="00923EBA">
        <w:trPr>
          <w:trHeight w:val="255"/>
        </w:trPr>
        <w:tc>
          <w:tcPr>
            <w:tcW w:w="577" w:type="dxa"/>
            <w:tcBorders>
              <w:top w:val="nil"/>
              <w:left w:val="single" w:sz="4" w:space="0" w:color="auto"/>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3163" w:type="dxa"/>
            <w:tcBorders>
              <w:top w:val="single" w:sz="4" w:space="0" w:color="auto"/>
              <w:left w:val="single" w:sz="4" w:space="0" w:color="auto"/>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608" w:type="dxa"/>
            <w:tcBorders>
              <w:top w:val="single" w:sz="4" w:space="0" w:color="auto"/>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99" w:type="dxa"/>
            <w:tcBorders>
              <w:top w:val="single" w:sz="4" w:space="0" w:color="auto"/>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890" w:type="dxa"/>
            <w:tcBorders>
              <w:top w:val="single" w:sz="4" w:space="0" w:color="auto"/>
              <w:left w:val="nil"/>
              <w:bottom w:val="nil"/>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2046" w:type="dxa"/>
            <w:tcBorders>
              <w:top w:val="nil"/>
              <w:left w:val="nil"/>
              <w:bottom w:val="nil"/>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 xml:space="preserve">rovinné </w:t>
            </w:r>
          </w:p>
        </w:tc>
        <w:tc>
          <w:tcPr>
            <w:tcW w:w="608" w:type="dxa"/>
            <w:tcBorders>
              <w:top w:val="nil"/>
              <w:left w:val="nil"/>
              <w:bottom w:val="nil"/>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 xml:space="preserve">svažité </w:t>
            </w:r>
          </w:p>
        </w:tc>
        <w:tc>
          <w:tcPr>
            <w:tcW w:w="749" w:type="dxa"/>
            <w:tcBorders>
              <w:top w:val="nil"/>
              <w:left w:val="nil"/>
              <w:bottom w:val="nil"/>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svažité</w:t>
            </w:r>
          </w:p>
        </w:tc>
      </w:tr>
      <w:tr w:rsidR="00923EBA" w:rsidRPr="00923EBA" w:rsidTr="00923EBA">
        <w:trPr>
          <w:trHeight w:val="255"/>
        </w:trPr>
        <w:tc>
          <w:tcPr>
            <w:tcW w:w="577" w:type="dxa"/>
            <w:tcBorders>
              <w:top w:val="nil"/>
              <w:left w:val="single" w:sz="4" w:space="0" w:color="auto"/>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3163" w:type="dxa"/>
            <w:tcBorders>
              <w:top w:val="nil"/>
              <w:left w:val="single" w:sz="4" w:space="0" w:color="auto"/>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nil"/>
              <w:bottom w:val="nil"/>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do 1%</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1-5 %</w:t>
            </w:r>
          </w:p>
        </w:tc>
        <w:tc>
          <w:tcPr>
            <w:tcW w:w="74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přes 5 %</w:t>
            </w: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I</w:t>
            </w:r>
          </w:p>
        </w:tc>
        <w:tc>
          <w:tcPr>
            <w:tcW w:w="3163"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Zastavěné plochy(střechy)</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99" w:type="dxa"/>
            <w:tcBorders>
              <w:top w:val="single" w:sz="4" w:space="0" w:color="auto"/>
              <w:left w:val="nil"/>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890"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0,9</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0,9</w:t>
            </w:r>
          </w:p>
        </w:tc>
        <w:tc>
          <w:tcPr>
            <w:tcW w:w="74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0,9</w:t>
            </w: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II</w:t>
            </w:r>
          </w:p>
        </w:tc>
        <w:tc>
          <w:tcPr>
            <w:tcW w:w="4570" w:type="dxa"/>
            <w:gridSpan w:val="3"/>
            <w:tcBorders>
              <w:top w:val="single" w:sz="4" w:space="0" w:color="auto"/>
              <w:left w:val="single" w:sz="4" w:space="0" w:color="auto"/>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Asfaltové a betonové vozovky</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0,7</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0,8</w:t>
            </w:r>
          </w:p>
        </w:tc>
        <w:tc>
          <w:tcPr>
            <w:tcW w:w="74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0,9</w:t>
            </w: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III</w:t>
            </w:r>
          </w:p>
        </w:tc>
        <w:tc>
          <w:tcPr>
            <w:tcW w:w="4570" w:type="dxa"/>
            <w:gridSpan w:val="3"/>
            <w:tcBorders>
              <w:top w:val="single" w:sz="4" w:space="0" w:color="auto"/>
              <w:left w:val="single" w:sz="4" w:space="0" w:color="auto"/>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Obyčejné dlažby(pískové spáry)</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0,5</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0,6</w:t>
            </w:r>
          </w:p>
        </w:tc>
        <w:tc>
          <w:tcPr>
            <w:tcW w:w="74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0,7</w:t>
            </w: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IV</w:t>
            </w:r>
          </w:p>
        </w:tc>
        <w:tc>
          <w:tcPr>
            <w:tcW w:w="4570" w:type="dxa"/>
            <w:gridSpan w:val="3"/>
            <w:tcBorders>
              <w:top w:val="single" w:sz="4" w:space="0" w:color="auto"/>
              <w:left w:val="single" w:sz="4" w:space="0" w:color="auto"/>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Štěrkované silnice a cesty</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0,3</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0,4</w:t>
            </w:r>
          </w:p>
        </w:tc>
        <w:tc>
          <w:tcPr>
            <w:tcW w:w="74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0,5</w:t>
            </w:r>
          </w:p>
        </w:tc>
      </w:tr>
      <w:tr w:rsidR="00923EBA" w:rsidRPr="00923EBA" w:rsidTr="00923EBA">
        <w:trPr>
          <w:trHeight w:val="255"/>
        </w:trPr>
        <w:tc>
          <w:tcPr>
            <w:tcW w:w="577" w:type="dxa"/>
            <w:tcBorders>
              <w:top w:val="nil"/>
              <w:left w:val="single" w:sz="4" w:space="0" w:color="auto"/>
              <w:bottom w:val="nil"/>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V</w:t>
            </w:r>
          </w:p>
        </w:tc>
        <w:tc>
          <w:tcPr>
            <w:tcW w:w="5460" w:type="dxa"/>
            <w:gridSpan w:val="4"/>
            <w:tcBorders>
              <w:top w:val="single" w:sz="4" w:space="0" w:color="auto"/>
              <w:left w:val="single" w:sz="4" w:space="0" w:color="auto"/>
              <w:bottom w:val="nil"/>
              <w:right w:val="single" w:sz="4" w:space="0" w:color="000000"/>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Nezastavěné plochy,drážní pozemky,</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4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3771" w:type="dxa"/>
            <w:gridSpan w:val="2"/>
            <w:tcBorders>
              <w:top w:val="nil"/>
              <w:left w:val="single" w:sz="4" w:space="0" w:color="auto"/>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parkové cesty</w:t>
            </w:r>
          </w:p>
        </w:tc>
        <w:tc>
          <w:tcPr>
            <w:tcW w:w="799" w:type="dxa"/>
            <w:tcBorders>
              <w:top w:val="nil"/>
              <w:left w:val="nil"/>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0,2</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0,25</w:t>
            </w:r>
          </w:p>
        </w:tc>
        <w:tc>
          <w:tcPr>
            <w:tcW w:w="74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0,3</w:t>
            </w: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VI</w:t>
            </w:r>
          </w:p>
        </w:tc>
        <w:tc>
          <w:tcPr>
            <w:tcW w:w="3771" w:type="dxa"/>
            <w:gridSpan w:val="2"/>
            <w:tcBorders>
              <w:top w:val="single" w:sz="4" w:space="0" w:color="auto"/>
              <w:left w:val="single" w:sz="4" w:space="0" w:color="auto"/>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Hřbitovy,sady,hřiště</w:t>
            </w:r>
          </w:p>
        </w:tc>
        <w:tc>
          <w:tcPr>
            <w:tcW w:w="799" w:type="dxa"/>
            <w:tcBorders>
              <w:top w:val="nil"/>
              <w:left w:val="nil"/>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0,1</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0,15</w:t>
            </w:r>
          </w:p>
        </w:tc>
        <w:tc>
          <w:tcPr>
            <w:tcW w:w="74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0,2</w:t>
            </w: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VII</w:t>
            </w:r>
          </w:p>
        </w:tc>
        <w:tc>
          <w:tcPr>
            <w:tcW w:w="3771" w:type="dxa"/>
            <w:gridSpan w:val="2"/>
            <w:tcBorders>
              <w:top w:val="single" w:sz="4" w:space="0" w:color="auto"/>
              <w:left w:val="single" w:sz="4" w:space="0" w:color="auto"/>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Zelené pásy,pole,louky</w:t>
            </w:r>
          </w:p>
        </w:tc>
        <w:tc>
          <w:tcPr>
            <w:tcW w:w="799" w:type="dxa"/>
            <w:tcBorders>
              <w:top w:val="nil"/>
              <w:left w:val="nil"/>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0,05</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0,1</w:t>
            </w:r>
          </w:p>
        </w:tc>
        <w:tc>
          <w:tcPr>
            <w:tcW w:w="74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0,15</w:t>
            </w: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VIII</w:t>
            </w:r>
          </w:p>
        </w:tc>
        <w:tc>
          <w:tcPr>
            <w:tcW w:w="3163" w:type="dxa"/>
            <w:tcBorders>
              <w:top w:val="nil"/>
              <w:left w:val="nil"/>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Lesy</w:t>
            </w:r>
          </w:p>
        </w:tc>
        <w:tc>
          <w:tcPr>
            <w:tcW w:w="608" w:type="dxa"/>
            <w:tcBorders>
              <w:top w:val="nil"/>
              <w:left w:val="nil"/>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99" w:type="dxa"/>
            <w:tcBorders>
              <w:top w:val="nil"/>
              <w:left w:val="nil"/>
              <w:bottom w:val="single" w:sz="4" w:space="0" w:color="auto"/>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0,00</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0,05</w:t>
            </w:r>
          </w:p>
        </w:tc>
        <w:tc>
          <w:tcPr>
            <w:tcW w:w="74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0,1</w:t>
            </w:r>
          </w:p>
        </w:tc>
      </w:tr>
      <w:tr w:rsidR="00923EBA" w:rsidRPr="00923EBA" w:rsidTr="00923EBA">
        <w:trPr>
          <w:trHeight w:val="255"/>
        </w:trPr>
        <w:tc>
          <w:tcPr>
            <w:tcW w:w="577"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3163"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4348" w:type="dxa"/>
            <w:gridSpan w:val="3"/>
            <w:tcBorders>
              <w:top w:val="nil"/>
              <w:left w:val="nil"/>
              <w:bottom w:val="nil"/>
              <w:right w:val="nil"/>
            </w:tcBorders>
            <w:shd w:val="clear" w:color="auto" w:fill="auto"/>
            <w:noWrap/>
            <w:vAlign w:val="bottom"/>
            <w:hideMark/>
          </w:tcPr>
          <w:p w:rsidR="003B10B1" w:rsidRPr="003B10B1" w:rsidRDefault="003B10B1" w:rsidP="00923EBA">
            <w:pPr>
              <w:ind w:firstLine="0"/>
              <w:jc w:val="left"/>
              <w:rPr>
                <w:rFonts w:ascii="Arial CE" w:hAnsi="Arial CE" w:cs="Arial CE"/>
                <w:szCs w:val="24"/>
              </w:rPr>
            </w:pPr>
          </w:p>
          <w:p w:rsidR="003B10B1" w:rsidRPr="003B10B1" w:rsidRDefault="003B10B1" w:rsidP="00923EBA">
            <w:pPr>
              <w:ind w:firstLine="0"/>
              <w:jc w:val="left"/>
              <w:rPr>
                <w:rFonts w:ascii="Arial CE" w:hAnsi="Arial CE" w:cs="Arial CE"/>
                <w:szCs w:val="24"/>
              </w:rPr>
            </w:pPr>
          </w:p>
          <w:p w:rsidR="00923EBA" w:rsidRPr="003B10B1" w:rsidRDefault="00923EBA" w:rsidP="00923EBA">
            <w:pPr>
              <w:ind w:firstLine="0"/>
              <w:jc w:val="left"/>
              <w:rPr>
                <w:rFonts w:ascii="Arial CE" w:hAnsi="Arial CE" w:cs="Arial CE"/>
                <w:szCs w:val="24"/>
              </w:rPr>
            </w:pPr>
            <w:r w:rsidRPr="003B10B1">
              <w:rPr>
                <w:rFonts w:ascii="Arial CE" w:hAnsi="Arial CE" w:cs="Arial CE"/>
                <w:szCs w:val="24"/>
              </w:rPr>
              <w:t>Stanovení odtokového množství:</w:t>
            </w:r>
          </w:p>
        </w:tc>
        <w:tc>
          <w:tcPr>
            <w:tcW w:w="799" w:type="dxa"/>
            <w:tcBorders>
              <w:top w:val="nil"/>
              <w:left w:val="nil"/>
              <w:bottom w:val="nil"/>
              <w:right w:val="nil"/>
            </w:tcBorders>
            <w:shd w:val="clear" w:color="auto" w:fill="auto"/>
            <w:noWrap/>
            <w:vAlign w:val="bottom"/>
            <w:hideMark/>
          </w:tcPr>
          <w:p w:rsidR="00923EBA" w:rsidRPr="003B10B1" w:rsidRDefault="00923EBA" w:rsidP="00923EBA">
            <w:pPr>
              <w:ind w:firstLine="0"/>
              <w:jc w:val="left"/>
              <w:rPr>
                <w:rFonts w:ascii="Arial CE" w:hAnsi="Arial CE" w:cs="Arial CE"/>
                <w:szCs w:val="24"/>
              </w:rPr>
            </w:pP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3740" w:type="dxa"/>
            <w:gridSpan w:val="2"/>
            <w:tcBorders>
              <w:top w:val="nil"/>
              <w:left w:val="nil"/>
              <w:bottom w:val="nil"/>
              <w:right w:val="nil"/>
            </w:tcBorders>
            <w:shd w:val="clear" w:color="auto" w:fill="auto"/>
            <w:noWrap/>
            <w:vAlign w:val="bottom"/>
            <w:hideMark/>
          </w:tcPr>
          <w:p w:rsidR="00923EBA" w:rsidRPr="003B10B1" w:rsidRDefault="00923EBA" w:rsidP="00923EBA">
            <w:pPr>
              <w:ind w:firstLine="0"/>
              <w:jc w:val="left"/>
              <w:rPr>
                <w:rFonts w:ascii="Arial CE" w:hAnsi="Arial CE" w:cs="Arial CE"/>
                <w:szCs w:val="24"/>
              </w:rPr>
            </w:pPr>
            <w:r w:rsidRPr="003B10B1">
              <w:rPr>
                <w:rFonts w:ascii="Arial CE" w:hAnsi="Arial CE" w:cs="Arial CE"/>
                <w:szCs w:val="24"/>
              </w:rPr>
              <w:t>Q = F x fí x i</w:t>
            </w:r>
          </w:p>
        </w:tc>
        <w:tc>
          <w:tcPr>
            <w:tcW w:w="608" w:type="dxa"/>
            <w:tcBorders>
              <w:top w:val="nil"/>
              <w:left w:val="nil"/>
              <w:bottom w:val="nil"/>
              <w:right w:val="nil"/>
            </w:tcBorders>
            <w:shd w:val="clear" w:color="auto" w:fill="auto"/>
            <w:noWrap/>
            <w:vAlign w:val="bottom"/>
            <w:hideMark/>
          </w:tcPr>
          <w:p w:rsidR="00923EBA" w:rsidRPr="003B10B1" w:rsidRDefault="00923EBA" w:rsidP="00923EBA">
            <w:pPr>
              <w:ind w:firstLine="0"/>
              <w:jc w:val="left"/>
              <w:rPr>
                <w:rFonts w:ascii="Arial CE" w:hAnsi="Arial CE" w:cs="Arial CE"/>
                <w:szCs w:val="24"/>
              </w:rPr>
            </w:pPr>
          </w:p>
        </w:tc>
        <w:tc>
          <w:tcPr>
            <w:tcW w:w="799" w:type="dxa"/>
            <w:tcBorders>
              <w:top w:val="nil"/>
              <w:left w:val="nil"/>
              <w:bottom w:val="nil"/>
              <w:right w:val="nil"/>
            </w:tcBorders>
            <w:shd w:val="clear" w:color="auto" w:fill="auto"/>
            <w:noWrap/>
            <w:vAlign w:val="bottom"/>
            <w:hideMark/>
          </w:tcPr>
          <w:p w:rsidR="00923EBA" w:rsidRPr="003B10B1" w:rsidRDefault="00923EBA" w:rsidP="00923EBA">
            <w:pPr>
              <w:ind w:firstLine="0"/>
              <w:jc w:val="left"/>
              <w:rPr>
                <w:rFonts w:ascii="Arial CE" w:hAnsi="Arial CE" w:cs="Arial CE"/>
                <w:szCs w:val="24"/>
              </w:rPr>
            </w:pP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147" w:type="dxa"/>
            <w:gridSpan w:val="4"/>
            <w:tcBorders>
              <w:top w:val="nil"/>
              <w:left w:val="nil"/>
              <w:bottom w:val="nil"/>
              <w:right w:val="nil"/>
            </w:tcBorders>
            <w:shd w:val="clear" w:color="auto" w:fill="auto"/>
            <w:noWrap/>
            <w:vAlign w:val="bottom"/>
            <w:hideMark/>
          </w:tcPr>
          <w:p w:rsidR="00923EBA" w:rsidRPr="003B10B1" w:rsidRDefault="00923EBA" w:rsidP="00923EBA">
            <w:pPr>
              <w:ind w:firstLine="0"/>
              <w:jc w:val="left"/>
              <w:rPr>
                <w:rFonts w:ascii="Arial CE" w:hAnsi="Arial CE" w:cs="Arial CE"/>
                <w:szCs w:val="24"/>
              </w:rPr>
            </w:pPr>
            <w:r w:rsidRPr="003B10B1">
              <w:rPr>
                <w:rFonts w:ascii="Arial CE" w:hAnsi="Arial CE" w:cs="Arial CE"/>
                <w:szCs w:val="24"/>
              </w:rPr>
              <w:t>Q = odtokové množství v l/s nebo v m3/s</w:t>
            </w: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4348" w:type="dxa"/>
            <w:gridSpan w:val="3"/>
            <w:tcBorders>
              <w:top w:val="nil"/>
              <w:left w:val="nil"/>
              <w:bottom w:val="nil"/>
              <w:right w:val="nil"/>
            </w:tcBorders>
            <w:shd w:val="clear" w:color="auto" w:fill="auto"/>
            <w:noWrap/>
            <w:vAlign w:val="bottom"/>
            <w:hideMark/>
          </w:tcPr>
          <w:p w:rsidR="00923EBA" w:rsidRPr="003B10B1" w:rsidRDefault="00923EBA" w:rsidP="00923EBA">
            <w:pPr>
              <w:ind w:firstLine="0"/>
              <w:jc w:val="left"/>
              <w:rPr>
                <w:rFonts w:ascii="Arial CE" w:hAnsi="Arial CE" w:cs="Arial CE"/>
                <w:szCs w:val="24"/>
              </w:rPr>
            </w:pPr>
            <w:r w:rsidRPr="003B10B1">
              <w:rPr>
                <w:rFonts w:ascii="Arial CE" w:hAnsi="Arial CE" w:cs="Arial CE"/>
                <w:szCs w:val="24"/>
              </w:rPr>
              <w:t>F = plocha povodí v ha</w:t>
            </w:r>
          </w:p>
        </w:tc>
        <w:tc>
          <w:tcPr>
            <w:tcW w:w="799" w:type="dxa"/>
            <w:tcBorders>
              <w:top w:val="nil"/>
              <w:left w:val="nil"/>
              <w:bottom w:val="nil"/>
              <w:right w:val="nil"/>
            </w:tcBorders>
            <w:shd w:val="clear" w:color="auto" w:fill="auto"/>
            <w:noWrap/>
            <w:vAlign w:val="bottom"/>
            <w:hideMark/>
          </w:tcPr>
          <w:p w:rsidR="00923EBA" w:rsidRPr="003B10B1" w:rsidRDefault="00923EBA" w:rsidP="00923EBA">
            <w:pPr>
              <w:ind w:firstLine="0"/>
              <w:jc w:val="left"/>
              <w:rPr>
                <w:rFonts w:ascii="Arial CE" w:hAnsi="Arial CE" w:cs="Arial CE"/>
                <w:szCs w:val="24"/>
              </w:rPr>
            </w:pP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147" w:type="dxa"/>
            <w:gridSpan w:val="4"/>
            <w:tcBorders>
              <w:top w:val="nil"/>
              <w:left w:val="nil"/>
              <w:bottom w:val="nil"/>
              <w:right w:val="nil"/>
            </w:tcBorders>
            <w:shd w:val="clear" w:color="auto" w:fill="auto"/>
            <w:noWrap/>
            <w:vAlign w:val="bottom"/>
            <w:hideMark/>
          </w:tcPr>
          <w:p w:rsidR="00923EBA" w:rsidRPr="003B10B1" w:rsidRDefault="00923EBA" w:rsidP="00923EBA">
            <w:pPr>
              <w:ind w:firstLine="0"/>
              <w:jc w:val="left"/>
              <w:rPr>
                <w:rFonts w:ascii="Arial CE" w:hAnsi="Arial CE" w:cs="Arial CE"/>
                <w:szCs w:val="24"/>
              </w:rPr>
            </w:pPr>
            <w:r w:rsidRPr="003B10B1">
              <w:rPr>
                <w:rFonts w:ascii="Arial CE" w:hAnsi="Arial CE" w:cs="Arial CE"/>
                <w:szCs w:val="24"/>
              </w:rPr>
              <w:t xml:space="preserve">Fí = součinotel odtoku číslo bezrozměrné </w:t>
            </w: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147" w:type="dxa"/>
            <w:gridSpan w:val="4"/>
            <w:tcBorders>
              <w:top w:val="nil"/>
              <w:left w:val="nil"/>
              <w:bottom w:val="nil"/>
              <w:right w:val="nil"/>
            </w:tcBorders>
            <w:shd w:val="clear" w:color="auto" w:fill="auto"/>
            <w:noWrap/>
            <w:vAlign w:val="bottom"/>
            <w:hideMark/>
          </w:tcPr>
          <w:p w:rsidR="00923EBA" w:rsidRPr="003B10B1" w:rsidRDefault="00923EBA" w:rsidP="00923EBA">
            <w:pPr>
              <w:ind w:firstLine="0"/>
              <w:jc w:val="left"/>
              <w:rPr>
                <w:rFonts w:ascii="Arial CE" w:hAnsi="Arial CE" w:cs="Arial CE"/>
                <w:szCs w:val="24"/>
              </w:rPr>
            </w:pPr>
            <w:r w:rsidRPr="003B10B1">
              <w:rPr>
                <w:rFonts w:ascii="Arial CE" w:hAnsi="Arial CE" w:cs="Arial CE"/>
                <w:szCs w:val="24"/>
              </w:rPr>
              <w:t>i = intenzita uvažovaného deště v l/s/ha</w:t>
            </w: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3163"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číslo</w:t>
            </w:r>
          </w:p>
        </w:tc>
        <w:tc>
          <w:tcPr>
            <w:tcW w:w="3163"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číslo</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spád</w:t>
            </w:r>
          </w:p>
        </w:tc>
        <w:tc>
          <w:tcPr>
            <w:tcW w:w="799"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koeficient</w:t>
            </w:r>
          </w:p>
        </w:tc>
        <w:tc>
          <w:tcPr>
            <w:tcW w:w="890"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plocha</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redukovaná</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ha</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povodí</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svažité</w:t>
            </w:r>
          </w:p>
        </w:tc>
        <w:tc>
          <w:tcPr>
            <w:tcW w:w="79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skutečná</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plocha</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1</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II</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1-5 %</w:t>
            </w:r>
          </w:p>
        </w:tc>
        <w:tc>
          <w:tcPr>
            <w:tcW w:w="79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0,80</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1,55</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1,24</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2</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II</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1-5 %</w:t>
            </w:r>
          </w:p>
        </w:tc>
        <w:tc>
          <w:tcPr>
            <w:tcW w:w="79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0,80</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9,6</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7,68</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3</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II</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1-5 %</w:t>
            </w:r>
          </w:p>
        </w:tc>
        <w:tc>
          <w:tcPr>
            <w:tcW w:w="79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0,80</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1,97</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1,58</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4</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II</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1-5 %</w:t>
            </w:r>
          </w:p>
        </w:tc>
        <w:tc>
          <w:tcPr>
            <w:tcW w:w="79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0,80</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0,49</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0,39</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w:t>
            </w:r>
          </w:p>
        </w:tc>
        <w:tc>
          <w:tcPr>
            <w:tcW w:w="799"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0,80</w:t>
            </w:r>
          </w:p>
        </w:tc>
        <w:tc>
          <w:tcPr>
            <w:tcW w:w="890"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13,61</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b/>
                <w:bCs/>
                <w:sz w:val="20"/>
              </w:rPr>
            </w:pPr>
            <w:r w:rsidRPr="00923EBA">
              <w:rPr>
                <w:rFonts w:ascii="Arial CE" w:hAnsi="Arial CE" w:cs="Arial CE"/>
                <w:b/>
                <w:bCs/>
                <w:sz w:val="20"/>
              </w:rPr>
              <w:t>10,89</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ha</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3163" w:type="dxa"/>
            <w:tcBorders>
              <w:top w:val="nil"/>
              <w:left w:val="nil"/>
              <w:bottom w:val="nil"/>
              <w:right w:val="nil"/>
            </w:tcBorders>
            <w:shd w:val="clear" w:color="auto" w:fill="auto"/>
            <w:noWrap/>
            <w:vAlign w:val="bottom"/>
            <w:hideMark/>
          </w:tcPr>
          <w:p w:rsidR="00923EBA" w:rsidRDefault="00923EBA" w:rsidP="00923EBA">
            <w:pPr>
              <w:ind w:firstLine="0"/>
              <w:jc w:val="left"/>
              <w:rPr>
                <w:rFonts w:ascii="Arial CE" w:hAnsi="Arial CE" w:cs="Arial CE"/>
                <w:sz w:val="20"/>
              </w:rPr>
            </w:pPr>
          </w:p>
          <w:p w:rsidR="003B10B1" w:rsidRDefault="003B10B1" w:rsidP="00923EBA">
            <w:pPr>
              <w:ind w:firstLine="0"/>
              <w:jc w:val="left"/>
              <w:rPr>
                <w:rFonts w:ascii="Arial CE" w:hAnsi="Arial CE" w:cs="Arial CE"/>
                <w:sz w:val="20"/>
              </w:rPr>
            </w:pPr>
          </w:p>
          <w:p w:rsidR="003B10B1" w:rsidRDefault="003B10B1" w:rsidP="00923EBA">
            <w:pPr>
              <w:ind w:firstLine="0"/>
              <w:jc w:val="left"/>
              <w:rPr>
                <w:rFonts w:ascii="Arial CE" w:hAnsi="Arial CE" w:cs="Arial CE"/>
                <w:sz w:val="20"/>
              </w:rPr>
            </w:pPr>
          </w:p>
          <w:p w:rsidR="003B10B1" w:rsidRDefault="003B10B1" w:rsidP="00923EBA">
            <w:pPr>
              <w:ind w:firstLine="0"/>
              <w:jc w:val="left"/>
              <w:rPr>
                <w:rFonts w:ascii="Arial CE" w:hAnsi="Arial CE" w:cs="Arial CE"/>
                <w:sz w:val="20"/>
              </w:rPr>
            </w:pPr>
          </w:p>
          <w:p w:rsidR="003B10B1" w:rsidRPr="00923EBA" w:rsidRDefault="003B10B1"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center"/>
              <w:rPr>
                <w:rFonts w:ascii="Arial CE" w:hAnsi="Arial CE" w:cs="Arial CE"/>
                <w:sz w:val="20"/>
              </w:rPr>
            </w:pP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center"/>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center"/>
              <w:rPr>
                <w:rFonts w:ascii="Arial CE" w:hAnsi="Arial CE" w:cs="Arial CE"/>
                <w:b/>
                <w:bCs/>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center"/>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3163"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center"/>
              <w:rPr>
                <w:rFonts w:ascii="Arial CE" w:hAnsi="Arial CE" w:cs="Arial CE"/>
                <w:sz w:val="20"/>
              </w:rPr>
            </w:pP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center"/>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center"/>
              <w:rPr>
                <w:rFonts w:ascii="Arial CE" w:hAnsi="Arial CE" w:cs="Arial CE"/>
                <w:b/>
                <w:bCs/>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center"/>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3163"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3740" w:type="dxa"/>
            <w:gridSpan w:val="2"/>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r w:rsidRPr="00923EBA">
              <w:rPr>
                <w:rFonts w:ascii="Arial CE" w:hAnsi="Arial CE" w:cs="Arial CE"/>
                <w:b/>
                <w:bCs/>
                <w:sz w:val="20"/>
              </w:rPr>
              <w:t>Povodí č.1</w:t>
            </w: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936" w:type="dxa"/>
            <w:gridSpan w:val="2"/>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r w:rsidRPr="00923EBA">
              <w:rPr>
                <w:rFonts w:ascii="Arial CE" w:hAnsi="Arial CE" w:cs="Arial CE"/>
                <w:b/>
                <w:bCs/>
                <w:sz w:val="20"/>
              </w:rPr>
              <w:t>Povodí č.2</w:t>
            </w: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F = </w:t>
            </w:r>
          </w:p>
        </w:tc>
        <w:tc>
          <w:tcPr>
            <w:tcW w:w="3163"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1,24</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ha</w:t>
            </w: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F = </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7,68</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ha</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Fí = </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0,80</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průměr</w:t>
            </w: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Fí =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0,90</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průměr</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i = </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155</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l/s/ha</w:t>
            </w: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i =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155</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l/s/ha</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Q = </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b/>
                <w:bCs/>
                <w:sz w:val="20"/>
              </w:rPr>
            </w:pPr>
            <w:r w:rsidRPr="00923EBA">
              <w:rPr>
                <w:rFonts w:ascii="Arial CE" w:hAnsi="Arial CE" w:cs="Arial CE"/>
                <w:b/>
                <w:bCs/>
                <w:sz w:val="20"/>
              </w:rPr>
              <w:t>153,76</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b/>
                <w:bCs/>
                <w:sz w:val="20"/>
              </w:rPr>
            </w:pPr>
            <w:r w:rsidRPr="00923EBA">
              <w:rPr>
                <w:rFonts w:ascii="Arial CE" w:hAnsi="Arial CE" w:cs="Arial CE"/>
                <w:b/>
                <w:bCs/>
                <w:sz w:val="20"/>
              </w:rPr>
              <w:t>v l/s</w:t>
            </w: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Q =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b/>
                <w:bCs/>
                <w:sz w:val="20"/>
              </w:rPr>
            </w:pPr>
            <w:r w:rsidRPr="00923EBA">
              <w:rPr>
                <w:rFonts w:ascii="Arial CE" w:hAnsi="Arial CE" w:cs="Arial CE"/>
                <w:b/>
                <w:bCs/>
                <w:sz w:val="20"/>
              </w:rPr>
              <w:t>1 071,36</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b/>
                <w:bCs/>
                <w:sz w:val="20"/>
              </w:rPr>
            </w:pPr>
            <w:r w:rsidRPr="00923EBA">
              <w:rPr>
                <w:rFonts w:ascii="Arial CE" w:hAnsi="Arial CE" w:cs="Arial CE"/>
                <w:b/>
                <w:bCs/>
                <w:sz w:val="20"/>
              </w:rPr>
              <w:t>v l/s</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3163"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center"/>
              <w:rPr>
                <w:rFonts w:ascii="Arial CE" w:hAnsi="Arial CE" w:cs="Arial CE"/>
                <w:b/>
                <w:bCs/>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center"/>
              <w:rPr>
                <w:rFonts w:ascii="Arial CE" w:hAnsi="Arial CE" w:cs="Arial CE"/>
                <w:b/>
                <w:bCs/>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p>
        </w:tc>
      </w:tr>
      <w:tr w:rsidR="00923EBA" w:rsidRPr="00923EBA" w:rsidTr="00923EBA">
        <w:trPr>
          <w:trHeight w:val="255"/>
        </w:trPr>
        <w:tc>
          <w:tcPr>
            <w:tcW w:w="3740" w:type="dxa"/>
            <w:gridSpan w:val="2"/>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r w:rsidRPr="00923EBA">
              <w:rPr>
                <w:rFonts w:ascii="Arial CE" w:hAnsi="Arial CE" w:cs="Arial CE"/>
                <w:b/>
                <w:bCs/>
                <w:sz w:val="20"/>
              </w:rPr>
              <w:t>Povodí č.3</w:t>
            </w: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936" w:type="dxa"/>
            <w:gridSpan w:val="2"/>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r w:rsidRPr="00923EBA">
              <w:rPr>
                <w:rFonts w:ascii="Arial CE" w:hAnsi="Arial CE" w:cs="Arial CE"/>
                <w:b/>
                <w:bCs/>
                <w:sz w:val="20"/>
              </w:rPr>
              <w:t>Povodí č.4</w:t>
            </w: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p>
        </w:tc>
      </w:tr>
      <w:tr w:rsidR="00923EBA" w:rsidRPr="00923EBA" w:rsidTr="00923EBA">
        <w:trPr>
          <w:trHeight w:val="255"/>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F = </w:t>
            </w:r>
          </w:p>
        </w:tc>
        <w:tc>
          <w:tcPr>
            <w:tcW w:w="3163"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1,58</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ha</w:t>
            </w: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F = </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0,49</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ha</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Fí = </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0,90</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průměr</w:t>
            </w: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Fí =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0,80</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průměr</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i = </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155</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l/s/ha</w:t>
            </w: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i =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155</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sz w:val="20"/>
              </w:rPr>
            </w:pPr>
            <w:r w:rsidRPr="00923EBA">
              <w:rPr>
                <w:rFonts w:ascii="Arial CE" w:hAnsi="Arial CE" w:cs="Arial CE"/>
                <w:sz w:val="20"/>
              </w:rPr>
              <w:t>l/s/ha</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p>
        </w:tc>
      </w:tr>
      <w:tr w:rsidR="00923EBA" w:rsidRPr="00923EBA" w:rsidTr="00923EBA">
        <w:trPr>
          <w:trHeight w:val="25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Q = </w:t>
            </w:r>
          </w:p>
        </w:tc>
        <w:tc>
          <w:tcPr>
            <w:tcW w:w="3163"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b/>
                <w:bCs/>
                <w:sz w:val="20"/>
              </w:rPr>
            </w:pPr>
            <w:r w:rsidRPr="00923EBA">
              <w:rPr>
                <w:rFonts w:ascii="Arial CE" w:hAnsi="Arial CE" w:cs="Arial CE"/>
                <w:b/>
                <w:bCs/>
                <w:sz w:val="20"/>
              </w:rPr>
              <w:t>219,85</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b/>
                <w:bCs/>
                <w:sz w:val="20"/>
              </w:rPr>
            </w:pPr>
            <w:r w:rsidRPr="00923EBA">
              <w:rPr>
                <w:rFonts w:ascii="Arial CE" w:hAnsi="Arial CE" w:cs="Arial CE"/>
                <w:b/>
                <w:bCs/>
                <w:sz w:val="20"/>
              </w:rPr>
              <w:t>v l/s</w:t>
            </w: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 xml:space="preserve">Q = </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b/>
                <w:bCs/>
                <w:sz w:val="20"/>
              </w:rPr>
            </w:pPr>
            <w:r w:rsidRPr="00923EBA">
              <w:rPr>
                <w:rFonts w:ascii="Arial CE" w:hAnsi="Arial CE" w:cs="Arial CE"/>
                <w:b/>
                <w:bCs/>
                <w:sz w:val="20"/>
              </w:rPr>
              <w:t>60,76</w:t>
            </w:r>
          </w:p>
        </w:tc>
        <w:tc>
          <w:tcPr>
            <w:tcW w:w="608"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center"/>
              <w:rPr>
                <w:rFonts w:ascii="Arial CE" w:hAnsi="Arial CE" w:cs="Arial CE"/>
                <w:b/>
                <w:bCs/>
                <w:sz w:val="20"/>
              </w:rPr>
            </w:pPr>
            <w:r w:rsidRPr="00923EBA">
              <w:rPr>
                <w:rFonts w:ascii="Arial CE" w:hAnsi="Arial CE" w:cs="Arial CE"/>
                <w:b/>
                <w:bCs/>
                <w:sz w:val="20"/>
              </w:rPr>
              <w:t>v l/s</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p>
        </w:tc>
      </w:tr>
      <w:tr w:rsidR="00923EBA" w:rsidRPr="00923EBA" w:rsidTr="00923EBA">
        <w:trPr>
          <w:trHeight w:val="255"/>
        </w:trPr>
        <w:tc>
          <w:tcPr>
            <w:tcW w:w="577"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3163"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2046"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147" w:type="dxa"/>
            <w:gridSpan w:val="4"/>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r w:rsidRPr="00923EBA">
              <w:rPr>
                <w:rFonts w:ascii="Arial CE" w:hAnsi="Arial CE" w:cs="Arial CE"/>
                <w:b/>
                <w:bCs/>
                <w:sz w:val="20"/>
              </w:rPr>
              <w:t>Redukovaná plocha povodí celkem</w:t>
            </w:r>
          </w:p>
        </w:tc>
        <w:tc>
          <w:tcPr>
            <w:tcW w:w="8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Povodí č.1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153,76</w:t>
            </w: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3163"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Povodí č.2</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1 071,36</w:t>
            </w: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55"/>
        </w:trPr>
        <w:tc>
          <w:tcPr>
            <w:tcW w:w="577"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3163"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Povodí č.3</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219,85</w:t>
            </w: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70"/>
        </w:trPr>
        <w:tc>
          <w:tcPr>
            <w:tcW w:w="577"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3163"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single" w:sz="4" w:space="0" w:color="auto"/>
              <w:bottom w:val="single" w:sz="4" w:space="0" w:color="auto"/>
              <w:right w:val="single" w:sz="4" w:space="0" w:color="auto"/>
            </w:tcBorders>
            <w:shd w:val="clear" w:color="auto" w:fill="auto"/>
            <w:noWrap/>
            <w:vAlign w:val="bottom"/>
            <w:hideMark/>
          </w:tcPr>
          <w:p w:rsidR="00923EBA" w:rsidRPr="00923EBA" w:rsidRDefault="00923EBA" w:rsidP="00923EBA">
            <w:pPr>
              <w:ind w:firstLine="0"/>
              <w:jc w:val="left"/>
              <w:rPr>
                <w:rFonts w:ascii="Arial CE" w:hAnsi="Arial CE" w:cs="Arial CE"/>
                <w:sz w:val="20"/>
              </w:rPr>
            </w:pPr>
            <w:r w:rsidRPr="00923EBA">
              <w:rPr>
                <w:rFonts w:ascii="Arial CE" w:hAnsi="Arial CE" w:cs="Arial CE"/>
                <w:sz w:val="20"/>
              </w:rPr>
              <w:t>Povodí č.4</w:t>
            </w:r>
          </w:p>
        </w:tc>
        <w:tc>
          <w:tcPr>
            <w:tcW w:w="2046" w:type="dxa"/>
            <w:tcBorders>
              <w:top w:val="nil"/>
              <w:left w:val="nil"/>
              <w:bottom w:val="single" w:sz="4" w:space="0" w:color="auto"/>
              <w:right w:val="single" w:sz="4" w:space="0" w:color="auto"/>
            </w:tcBorders>
            <w:shd w:val="clear" w:color="auto" w:fill="auto"/>
            <w:noWrap/>
            <w:vAlign w:val="bottom"/>
            <w:hideMark/>
          </w:tcPr>
          <w:p w:rsidR="00923EBA" w:rsidRPr="00923EBA" w:rsidRDefault="00923EBA" w:rsidP="00923EBA">
            <w:pPr>
              <w:ind w:firstLine="0"/>
              <w:jc w:val="right"/>
              <w:rPr>
                <w:rFonts w:ascii="Arial CE" w:hAnsi="Arial CE" w:cs="Arial CE"/>
                <w:sz w:val="20"/>
              </w:rPr>
            </w:pPr>
            <w:r w:rsidRPr="00923EBA">
              <w:rPr>
                <w:rFonts w:ascii="Arial CE" w:hAnsi="Arial CE" w:cs="Arial CE"/>
                <w:sz w:val="20"/>
              </w:rPr>
              <w:t>60,76</w:t>
            </w: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r w:rsidR="00923EBA" w:rsidRPr="00923EBA" w:rsidTr="00923EBA">
        <w:trPr>
          <w:trHeight w:val="270"/>
        </w:trPr>
        <w:tc>
          <w:tcPr>
            <w:tcW w:w="577"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3163"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608"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p>
        </w:tc>
        <w:tc>
          <w:tcPr>
            <w:tcW w:w="79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c>
          <w:tcPr>
            <w:tcW w:w="890" w:type="dxa"/>
            <w:tcBorders>
              <w:top w:val="nil"/>
              <w:left w:val="single" w:sz="4" w:space="0" w:color="auto"/>
              <w:bottom w:val="single" w:sz="4" w:space="0" w:color="auto"/>
              <w:right w:val="nil"/>
            </w:tcBorders>
            <w:shd w:val="clear" w:color="auto" w:fill="auto"/>
            <w:noWrap/>
            <w:vAlign w:val="bottom"/>
            <w:hideMark/>
          </w:tcPr>
          <w:p w:rsidR="00923EBA" w:rsidRPr="00923EBA" w:rsidRDefault="00923EBA" w:rsidP="00923EBA">
            <w:pPr>
              <w:ind w:firstLine="0"/>
              <w:jc w:val="center"/>
              <w:rPr>
                <w:rFonts w:ascii="Arial CE" w:hAnsi="Arial CE" w:cs="Arial CE"/>
                <w:b/>
                <w:bCs/>
                <w:sz w:val="20"/>
              </w:rPr>
            </w:pPr>
            <w:r w:rsidRPr="00923EBA">
              <w:rPr>
                <w:rFonts w:ascii="Arial CE" w:hAnsi="Arial CE" w:cs="Arial CE"/>
                <w:b/>
                <w:bCs/>
                <w:sz w:val="20"/>
              </w:rPr>
              <w:t> </w:t>
            </w:r>
          </w:p>
        </w:tc>
        <w:tc>
          <w:tcPr>
            <w:tcW w:w="2046" w:type="dxa"/>
            <w:tcBorders>
              <w:top w:val="nil"/>
              <w:left w:val="single" w:sz="8" w:space="0" w:color="auto"/>
              <w:bottom w:val="single" w:sz="8" w:space="0" w:color="auto"/>
              <w:right w:val="single" w:sz="8" w:space="0" w:color="auto"/>
            </w:tcBorders>
            <w:shd w:val="clear" w:color="auto" w:fill="auto"/>
            <w:noWrap/>
            <w:vAlign w:val="bottom"/>
            <w:hideMark/>
          </w:tcPr>
          <w:p w:rsidR="00923EBA" w:rsidRPr="00923EBA" w:rsidRDefault="00923EBA" w:rsidP="00923EBA">
            <w:pPr>
              <w:ind w:firstLine="0"/>
              <w:jc w:val="right"/>
              <w:rPr>
                <w:rFonts w:ascii="Arial CE" w:hAnsi="Arial CE" w:cs="Arial CE"/>
                <w:b/>
                <w:bCs/>
                <w:sz w:val="20"/>
              </w:rPr>
            </w:pPr>
            <w:r w:rsidRPr="00923EBA">
              <w:rPr>
                <w:rFonts w:ascii="Arial CE" w:hAnsi="Arial CE" w:cs="Arial CE"/>
                <w:b/>
                <w:bCs/>
                <w:sz w:val="20"/>
              </w:rPr>
              <w:t>1 505,73</w:t>
            </w:r>
          </w:p>
        </w:tc>
        <w:tc>
          <w:tcPr>
            <w:tcW w:w="608" w:type="dxa"/>
            <w:tcBorders>
              <w:top w:val="single" w:sz="8" w:space="0" w:color="auto"/>
              <w:left w:val="nil"/>
              <w:bottom w:val="single" w:sz="8" w:space="0" w:color="auto"/>
              <w:right w:val="single" w:sz="8" w:space="0" w:color="auto"/>
            </w:tcBorders>
            <w:shd w:val="clear" w:color="auto" w:fill="auto"/>
            <w:noWrap/>
            <w:vAlign w:val="bottom"/>
            <w:hideMark/>
          </w:tcPr>
          <w:p w:rsidR="00923EBA" w:rsidRPr="00923EBA" w:rsidRDefault="00923EBA" w:rsidP="00923EBA">
            <w:pPr>
              <w:ind w:firstLine="0"/>
              <w:jc w:val="left"/>
              <w:rPr>
                <w:rFonts w:ascii="Arial CE" w:hAnsi="Arial CE" w:cs="Arial CE"/>
                <w:b/>
                <w:bCs/>
                <w:sz w:val="20"/>
              </w:rPr>
            </w:pPr>
            <w:r w:rsidRPr="00923EBA">
              <w:rPr>
                <w:rFonts w:ascii="Arial CE" w:hAnsi="Arial CE" w:cs="Arial CE"/>
                <w:b/>
                <w:bCs/>
                <w:sz w:val="20"/>
              </w:rPr>
              <w:t>l/s</w:t>
            </w:r>
          </w:p>
        </w:tc>
        <w:tc>
          <w:tcPr>
            <w:tcW w:w="749" w:type="dxa"/>
            <w:tcBorders>
              <w:top w:val="nil"/>
              <w:left w:val="nil"/>
              <w:bottom w:val="nil"/>
              <w:right w:val="nil"/>
            </w:tcBorders>
            <w:shd w:val="clear" w:color="auto" w:fill="auto"/>
            <w:noWrap/>
            <w:vAlign w:val="bottom"/>
            <w:hideMark/>
          </w:tcPr>
          <w:p w:rsidR="00923EBA" w:rsidRPr="00923EBA" w:rsidRDefault="00923EBA" w:rsidP="00923EBA">
            <w:pPr>
              <w:ind w:firstLine="0"/>
              <w:jc w:val="left"/>
              <w:rPr>
                <w:rFonts w:ascii="Arial CE" w:hAnsi="Arial CE" w:cs="Arial CE"/>
                <w:sz w:val="20"/>
              </w:rPr>
            </w:pPr>
          </w:p>
        </w:tc>
      </w:tr>
    </w:tbl>
    <w:p w:rsidR="002958A7" w:rsidRDefault="002958A7" w:rsidP="002958A7"/>
    <w:p w:rsidR="00E14A56" w:rsidRPr="00E14A56" w:rsidRDefault="00E14A56" w:rsidP="0041108C">
      <w:pPr>
        <w:pStyle w:val="Nadpis2"/>
        <w:rPr>
          <w:i/>
        </w:rPr>
      </w:pPr>
      <w:bookmarkStart w:id="81" w:name="_Toc23258331"/>
      <w:bookmarkStart w:id="82" w:name="_Toc96386887"/>
      <w:bookmarkStart w:id="83" w:name="_Toc114834099"/>
      <w:bookmarkStart w:id="84" w:name="_Toc115331633"/>
      <w:bookmarkStart w:id="85" w:name="_Toc117505782"/>
      <w:bookmarkStart w:id="86" w:name="_Toc284853482"/>
      <w:bookmarkStart w:id="87" w:name="_Toc285550811"/>
      <w:bookmarkStart w:id="88" w:name="_Toc338677100"/>
      <w:bookmarkStart w:id="89" w:name="_Toc409601648"/>
      <w:bookmarkStart w:id="90" w:name="_Toc430160341"/>
      <w:bookmarkStart w:id="91" w:name="_Toc531755795"/>
      <w:r w:rsidRPr="00E14A56">
        <w:t>Pokládání trub</w:t>
      </w:r>
      <w:bookmarkEnd w:id="81"/>
      <w:bookmarkEnd w:id="82"/>
      <w:bookmarkEnd w:id="83"/>
      <w:bookmarkEnd w:id="84"/>
      <w:bookmarkEnd w:id="85"/>
      <w:bookmarkEnd w:id="86"/>
      <w:bookmarkEnd w:id="87"/>
      <w:bookmarkEnd w:id="88"/>
      <w:bookmarkEnd w:id="89"/>
      <w:bookmarkEnd w:id="90"/>
      <w:bookmarkEnd w:id="91"/>
    </w:p>
    <w:p w:rsidR="00E14A56" w:rsidRPr="00E14A56" w:rsidRDefault="00E14A56" w:rsidP="00E14A56"/>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blCellSpacing w:w="0" w:type="dxa"/>
                <w:jc w:val="center"/>
              </w:trPr>
              <w:tc>
                <w:tcPr>
                  <w:tcW w:w="0" w:type="auto"/>
                  <w:shd w:val="clear" w:color="auto" w:fill="F5E7D8"/>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1" name="obrázek 1"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color w:val="965536"/>
                      <w:sz w:val="27"/>
                      <w:szCs w:val="27"/>
                    </w:rPr>
                    <w:t> </w:t>
                  </w:r>
                  <w:r w:rsidRPr="00E14A56">
                    <w:rPr>
                      <w:rFonts w:ascii="Times New Roman" w:hAnsi="Times New Roman"/>
                      <w:b/>
                      <w:bCs/>
                      <w:color w:val="965536"/>
                      <w:sz w:val="27"/>
                      <w:szCs w:val="27"/>
                    </w:rPr>
                    <w:t>Technologický postup pokládky kameninových trub a tvarovek</w:t>
                  </w:r>
                  <w:r w:rsidRPr="00E14A56">
                    <w:rPr>
                      <w:rFonts w:ascii="Times New Roman" w:hAnsi="Times New Roman"/>
                      <w:color w:val="965536"/>
                      <w:sz w:val="27"/>
                      <w:szCs w:val="27"/>
                    </w:rPr>
                    <w:t> </w:t>
                  </w:r>
                  <w:r w:rsidRPr="00E14A56">
                    <w:rPr>
                      <w:rFonts w:ascii="Times New Roman" w:hAnsi="Times New Roman"/>
                      <w:noProof/>
                      <w:szCs w:val="24"/>
                    </w:rPr>
                    <w:drawing>
                      <wp:inline distT="0" distB="0" distL="0" distR="0">
                        <wp:extent cx="85725" cy="104775"/>
                        <wp:effectExtent l="19050" t="0" r="9525" b="0"/>
                        <wp:docPr id="2" name="obrázek 2"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left"/>
        <w:rPr>
          <w:rFonts w:ascii="Times New Roman" w:hAnsi="Times New Roman"/>
          <w:vanish/>
          <w:szCs w:val="24"/>
        </w:rPr>
      </w:pPr>
    </w:p>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3" name="obrázek 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4" name="obrázek 4"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Základní předpoklady   </w:t>
                  </w:r>
                  <w:r w:rsidRPr="00E14A56">
                    <w:rPr>
                      <w:rFonts w:ascii="Times New Roman" w:hAnsi="Times New Roman"/>
                      <w:noProof/>
                      <w:szCs w:val="24"/>
                    </w:rPr>
                    <w:drawing>
                      <wp:inline distT="0" distB="0" distL="0" distR="0">
                        <wp:extent cx="85725" cy="104775"/>
                        <wp:effectExtent l="19050" t="0" r="9525" b="0"/>
                        <wp:docPr id="5" name="obrázek 5"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6" name="obrázek 6"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Potrubní vedení jsou inženýrské stavby, u kterých vzájemné působení trouby, potrubního spoje, podloží trub, uložení trub a překrytí tvoří základ pro jejich životnost a provozní spolehlivost. Kvalita celého stavebního díla je závislá jak na jakosti jednotlivých dílů ( trub a tvarovek) a jejich těsnění, tak i na kvalitě prováděných prací při budování podloží pro trouby, uložení trub a jejich montáže a na následném zasypání a hutnění zemin.</w:t>
                  </w:r>
                </w:p>
              </w:tc>
            </w:tr>
          </w:tbl>
          <w:p w:rsidR="00E14A56" w:rsidRPr="00E14A56" w:rsidRDefault="00E14A56" w:rsidP="00E14A56">
            <w:pPr>
              <w:ind w:firstLine="0"/>
              <w:jc w:val="center"/>
              <w:rPr>
                <w:rFonts w:ascii="Times New Roman" w:hAnsi="Times New Roman"/>
                <w:vanish/>
                <w:szCs w:val="24"/>
              </w:rPr>
            </w:pPr>
          </w:p>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7" name="obrázek 7"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8" name="obrázek 8"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Všeobecná pravidla pokládání   </w:t>
                  </w:r>
                  <w:r w:rsidRPr="00E14A56">
                    <w:rPr>
                      <w:rFonts w:ascii="Times New Roman" w:hAnsi="Times New Roman"/>
                      <w:noProof/>
                      <w:szCs w:val="24"/>
                    </w:rPr>
                    <w:drawing>
                      <wp:inline distT="0" distB="0" distL="0" distR="0">
                        <wp:extent cx="85725" cy="104775"/>
                        <wp:effectExtent l="19050" t="0" r="9525" b="0"/>
                        <wp:docPr id="9" name="obrázek 9"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95250"/>
                        <wp:effectExtent l="0" t="0" r="0" b="0"/>
                        <wp:docPr id="10" name="obrázek 10"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eramo-kamenina.cz/images/help.gif"/>
                                <pic:cNvPicPr>
                                  <a:picLocks noChangeAspect="1" noChangeArrowheads="1"/>
                                </pic:cNvPicPr>
                              </pic:nvPicPr>
                              <pic:blipFill>
                                <a:blip r:embed="rId10"/>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Provedení výkopu stavební rýh, pokládka trub, zasypání rýhy a hutnění musí být provedeno podle platných předpisů a norem.</w:t>
                  </w:r>
                  <w:r w:rsidRPr="00E14A56">
                    <w:rPr>
                      <w:rFonts w:cs="Arial"/>
                      <w:szCs w:val="24"/>
                    </w:rPr>
                    <w:br/>
                    <w:t>Výrobce kameninových trub dále doporučuje:</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při pokládce přednostně začínáme u nejnižšího bodu potrubního vedení, přičemž hrdla trub směřují nahoru.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vnitřní plocha hrdla a plocha konce dříku trouby ( plochy spoje ) musí být při zasunutí do sebe čisté.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ostré hrany konce dříku trub, které byly zkráceny, musí být před zasunutím zakulaceny ( zejména pro spoj typu F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Pro ulehčení zasunutí trub do sebe se doporučuje použití výrobcem dodávaného kluzného prostředku. Teplota při pokládce by neměla být nižší než - 5°C.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Spád mezi dvěma kontrolními šachtami musí být konstantní. </w:t>
                  </w:r>
                </w:p>
                <w:p w:rsidR="00E14A56" w:rsidRPr="00E14A56" w:rsidRDefault="00E14A56" w:rsidP="00E14A56">
                  <w:pPr>
                    <w:numPr>
                      <w:ilvl w:val="0"/>
                      <w:numId w:val="15"/>
                    </w:numPr>
                    <w:spacing w:before="100" w:beforeAutospacing="1" w:after="100" w:afterAutospacing="1"/>
                    <w:jc w:val="left"/>
                    <w:rPr>
                      <w:rFonts w:ascii="Times New Roman" w:hAnsi="Times New Roman"/>
                      <w:sz w:val="20"/>
                    </w:rPr>
                  </w:pPr>
                  <w:r w:rsidRPr="00E14A56">
                    <w:rPr>
                      <w:rFonts w:cs="Arial"/>
                      <w:szCs w:val="24"/>
                    </w:rPr>
                    <w:t>Směr pokládky musí být v přímkové linii.</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lastRenderedPageBreak/>
                    <w:t>1.1. Výkop</w:t>
                  </w:r>
                </w:p>
              </w:tc>
            </w:tr>
            <w:tr w:rsidR="00E14A56" w:rsidRPr="00E14A56" w:rsidTr="0012216A">
              <w:trPr>
                <w:tblCellSpacing w:w="0" w:type="dxa"/>
                <w:jc w:val="center"/>
              </w:trPr>
              <w:tc>
                <w:tcPr>
                  <w:tcW w:w="0" w:type="auto"/>
                  <w:vAlign w:val="center"/>
                  <w:hideMark/>
                </w:tcPr>
                <w:p w:rsidR="00962875" w:rsidRPr="00E14A56" w:rsidRDefault="00E14A56" w:rsidP="003B10B1">
                  <w:pPr>
                    <w:ind w:firstLine="0"/>
                    <w:jc w:val="left"/>
                    <w:rPr>
                      <w:rFonts w:cs="Arial"/>
                      <w:szCs w:val="24"/>
                    </w:rPr>
                  </w:pPr>
                  <w:r w:rsidRPr="00E14A56">
                    <w:rPr>
                      <w:rFonts w:cs="Arial"/>
                      <w:szCs w:val="24"/>
                    </w:rPr>
                    <w:t xml:space="preserve">Pro výkopové práce platí všeobecná pravidla bezpečnosti práce a z toho plynoucí minimální šířky výkopů viz. ČSN EN 1610, sklony stěn a provádění pažení výkopu. Všechny tyto parametry na staveništi musí odpovídat projektové dokumentaci. Statický výpočet prováděný pro posouzení způsobu ukládání ( do pískového nebo betonového lože ), zohledňuje zadané způsoby provádění pokládky, vytahování pažení a hutnění obsypových materiálů jak v zóně potrubí, tak i v zóně hlavního zásypu. </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1.2. Podmínky dna rýhy výkopu a názvosloví.</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noProof/>
                      <w:szCs w:val="24"/>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3305175" cy="3124200"/>
                        <wp:effectExtent l="0" t="0" r="0" b="0"/>
                        <wp:wrapSquare wrapText="bothSides"/>
                        <wp:docPr id="11" name="obrázek 2" descr="Vý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ýkop"/>
                                <pic:cNvPicPr>
                                  <a:picLocks noChangeAspect="1" noChangeArrowheads="1"/>
                                </pic:cNvPicPr>
                              </pic:nvPicPr>
                              <pic:blipFill>
                                <a:blip r:embed="rId11"/>
                                <a:srcRect/>
                                <a:stretch>
                                  <a:fillRect/>
                                </a:stretch>
                              </pic:blipFill>
                              <pic:spPr bwMode="auto">
                                <a:xfrm>
                                  <a:off x="0" y="0"/>
                                  <a:ext cx="3305175" cy="3124200"/>
                                </a:xfrm>
                                <a:prstGeom prst="rect">
                                  <a:avLst/>
                                </a:prstGeom>
                                <a:noFill/>
                                <a:ln w="9525">
                                  <a:noFill/>
                                  <a:miter lim="800000"/>
                                  <a:headEnd/>
                                  <a:tailEnd/>
                                </a:ln>
                              </pic:spPr>
                            </pic:pic>
                          </a:graphicData>
                        </a:graphic>
                      </wp:anchor>
                    </w:drawing>
                  </w:r>
                  <w:r w:rsidRPr="00E14A56">
                    <w:rPr>
                      <w:rFonts w:cs="Arial"/>
                      <w:szCs w:val="24"/>
                    </w:rPr>
                    <w:t xml:space="preserve">Dno rýhy výkopu - musí splňovat tyto základní podmínky: </w:t>
                  </w:r>
                </w:p>
                <w:p w:rsidR="00E14A56" w:rsidRPr="00E14A56" w:rsidRDefault="00E14A56" w:rsidP="00E14A56">
                  <w:pPr>
                    <w:ind w:firstLine="0"/>
                    <w:jc w:val="left"/>
                    <w:rPr>
                      <w:rFonts w:cs="Arial"/>
                      <w:szCs w:val="24"/>
                    </w:rPr>
                  </w:pPr>
                  <w:r w:rsidRPr="00E14A56">
                    <w:rPr>
                      <w:rFonts w:cs="Arial"/>
                      <w:szCs w:val="24"/>
                    </w:rPr>
                    <w:t xml:space="preserve">  dno rýhy musí být </w:t>
                  </w:r>
                  <w:r w:rsidRPr="00E14A56">
                    <w:rPr>
                      <w:rFonts w:cs="Arial"/>
                      <w:b/>
                      <w:bCs/>
                      <w:szCs w:val="24"/>
                    </w:rPr>
                    <w:t>suché</w:t>
                  </w:r>
                  <w:r w:rsidRPr="00E14A56">
                    <w:rPr>
                      <w:rFonts w:cs="Arial"/>
                      <w:szCs w:val="24"/>
                    </w:rPr>
                    <w:t xml:space="preserve">. Musí tedy být vždy odvedena nebo odčerpána dešťová, drenážní nebo pramenitá voda, jako i přítok z netěsných potrubních sítí. Přítoku povrchových vod musí být zabráněno vhodnými opatřeními ( např. pomocí zeminy z výkopu ). Odvodňování nesmí poškodit lože potrubí. </w:t>
                  </w:r>
                </w:p>
                <w:p w:rsidR="00E14A56" w:rsidRPr="00E14A56" w:rsidRDefault="00E14A56" w:rsidP="00E14A56">
                  <w:pPr>
                    <w:ind w:firstLine="0"/>
                    <w:jc w:val="left"/>
                    <w:rPr>
                      <w:rFonts w:cs="Arial"/>
                      <w:szCs w:val="24"/>
                    </w:rPr>
                  </w:pPr>
                  <w:r w:rsidRPr="00E14A56">
                    <w:rPr>
                      <w:rFonts w:cs="Arial"/>
                      <w:szCs w:val="24"/>
                    </w:rPr>
                    <w:t xml:space="preserve">  dno rýhy musí být dostatečně </w:t>
                  </w:r>
                  <w:r w:rsidRPr="00E14A56">
                    <w:rPr>
                      <w:rFonts w:cs="Arial"/>
                      <w:b/>
                      <w:bCs/>
                      <w:szCs w:val="24"/>
                    </w:rPr>
                    <w:t>tuhé</w:t>
                  </w:r>
                  <w:r w:rsidRPr="00E14A56">
                    <w:rPr>
                      <w:rFonts w:cs="Arial"/>
                      <w:szCs w:val="24"/>
                    </w:rPr>
                    <w:t xml:space="preserve"> a </w:t>
                  </w:r>
                  <w:r w:rsidRPr="00E14A56">
                    <w:rPr>
                      <w:rFonts w:cs="Arial"/>
                      <w:b/>
                      <w:bCs/>
                      <w:szCs w:val="24"/>
                    </w:rPr>
                    <w:t>nenarušené</w:t>
                  </w:r>
                  <w:r w:rsidRPr="00E14A56">
                    <w:rPr>
                      <w:rFonts w:cs="Arial"/>
                      <w:szCs w:val="24"/>
                    </w:rPr>
                    <w:t xml:space="preserve"> ( např. zuby lžíce bagru ). V případě, že dno rýhy bylo porušeno je bezpodmínečně nutné provést opětovné zhutnění !!! </w:t>
                  </w:r>
                </w:p>
                <w:p w:rsidR="00E14A56" w:rsidRPr="00E14A56" w:rsidRDefault="00E14A56" w:rsidP="00E14A56">
                  <w:pPr>
                    <w:ind w:firstLine="0"/>
                    <w:jc w:val="left"/>
                    <w:rPr>
                      <w:rFonts w:cs="Arial"/>
                      <w:szCs w:val="24"/>
                    </w:rPr>
                  </w:pPr>
                  <w:r w:rsidRPr="00E14A56">
                    <w:rPr>
                      <w:rFonts w:cs="Arial"/>
                      <w:szCs w:val="24"/>
                    </w:rPr>
                    <w:t xml:space="preserve">  dno nesmí obsahovat kameny, skálu nebo jiné cizorodé látky jako dřevo kořeny atd.. Proto je doporučujeme vždy při ukládání využívat </w:t>
                  </w:r>
                  <w:r w:rsidRPr="00E14A56">
                    <w:rPr>
                      <w:rFonts w:cs="Arial"/>
                      <w:b/>
                      <w:bCs/>
                      <w:szCs w:val="24"/>
                    </w:rPr>
                    <w:t>hutněnou spodní vrstvu lože</w:t>
                  </w:r>
                  <w:r w:rsidRPr="00E14A56">
                    <w:rPr>
                      <w:rFonts w:cs="Arial"/>
                      <w:szCs w:val="24"/>
                    </w:rPr>
                    <w:t xml:space="preserve"> provedenou ze </w:t>
                  </w:r>
                  <w:r w:rsidRPr="00E14A56">
                    <w:rPr>
                      <w:rFonts w:cs="Arial"/>
                      <w:szCs w:val="24"/>
                      <w:u w:val="single"/>
                    </w:rPr>
                    <w:t>zhutněného písku</w:t>
                  </w:r>
                  <w:r w:rsidRPr="00E14A56">
                    <w:rPr>
                      <w:rFonts w:cs="Arial"/>
                      <w:szCs w:val="24"/>
                    </w:rPr>
                    <w:t xml:space="preserve">, nebo ze </w:t>
                  </w:r>
                  <w:r w:rsidRPr="00E14A56">
                    <w:rPr>
                      <w:rFonts w:cs="Arial"/>
                      <w:szCs w:val="24"/>
                      <w:u w:val="single"/>
                    </w:rPr>
                    <w:t>zhutněného betonu</w:t>
                  </w:r>
                  <w:r w:rsidRPr="00E14A56">
                    <w:rPr>
                      <w:rFonts w:cs="Arial"/>
                      <w:szCs w:val="24"/>
                    </w:rPr>
                    <w:t xml:space="preserve"> v závislosti na konkrétní variantě uložení danou projektem. </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1.3. Kvalita uložení trubního materiálu závisí na :</w:t>
                  </w:r>
                </w:p>
              </w:tc>
            </w:tr>
            <w:tr w:rsidR="00E14A56" w:rsidRPr="00E14A56" w:rsidTr="0012216A">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180"/>
                    <w:gridCol w:w="8520"/>
                  </w:tblGrid>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suchém loži</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4897"/>
                          <w:gridCol w:w="214"/>
                          <w:gridCol w:w="1935"/>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na druhu použitých obsypových materiálů pro:</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spodní vrstvu lože</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horní vrstvu lože</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bl>
                      <w:p w:rsidR="00E14A56" w:rsidRPr="00E14A56" w:rsidRDefault="00E14A56" w:rsidP="00E14A56">
                        <w:pPr>
                          <w:ind w:firstLine="0"/>
                          <w:jc w:val="left"/>
                          <w:rPr>
                            <w:rFonts w:cs="Arial"/>
                            <w:szCs w:val="24"/>
                          </w:rPr>
                        </w:pP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 xml:space="preserve">uložení trub </w:t>
                        </w:r>
                        <w:r w:rsidRPr="00E14A56">
                          <w:rPr>
                            <w:rFonts w:cs="Arial"/>
                            <w:szCs w:val="24"/>
                            <w:u w:val="single"/>
                          </w:rPr>
                          <w:t>nesmí být bodové</w:t>
                        </w:r>
                        <w:r w:rsidRPr="00E14A56">
                          <w:rPr>
                            <w:rFonts w:cs="Arial"/>
                            <w:szCs w:val="24"/>
                          </w:rPr>
                          <w:t>, ale rovnoměrné na homogenní lože neobsahující cizorodé látky (betonové pražce nebo dřevěné podkladky, kameny a nebo jiné předměty využívané ke korektuře výšky)</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2241"/>
                          <w:gridCol w:w="214"/>
                          <w:gridCol w:w="4777"/>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kvalitním zhutnění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spodní vrstvu lože ! ! !</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horní vrstvu lože ! ! !</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 - pokud je hutnění navrženo</w:t>
                              </w:r>
                            </w:p>
                          </w:tc>
                        </w:tr>
                      </w:tbl>
                      <w:p w:rsidR="00E14A56" w:rsidRPr="00E14A56" w:rsidRDefault="00E14A56" w:rsidP="00E14A56">
                        <w:pPr>
                          <w:ind w:firstLine="0"/>
                          <w:jc w:val="left"/>
                          <w:rPr>
                            <w:rFonts w:cs="Arial"/>
                            <w:szCs w:val="24"/>
                          </w:rPr>
                        </w:pP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lastRenderedPageBreak/>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způsobu pažení</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4527"/>
                          <w:gridCol w:w="212"/>
                          <w:gridCol w:w="3781"/>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způsobu vytahování pažení při zasypávání:</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provedení zásypu nebo před atd.</w:t>
                              </w: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nebo před zhutněním vrstvy atd.</w:t>
                              </w:r>
                            </w:p>
                          </w:tc>
                        </w:tr>
                      </w:tbl>
                      <w:p w:rsidR="00E14A56" w:rsidRPr="00E14A56" w:rsidRDefault="00E14A56" w:rsidP="00E14A56">
                        <w:pPr>
                          <w:ind w:firstLine="0"/>
                          <w:jc w:val="left"/>
                          <w:rPr>
                            <w:rFonts w:cs="Arial"/>
                            <w:szCs w:val="24"/>
                          </w:rPr>
                        </w:pPr>
                      </w:p>
                    </w:tc>
                  </w:tr>
                </w:tbl>
                <w:p w:rsidR="00E14A56" w:rsidRPr="00E14A56" w:rsidRDefault="00E14A56" w:rsidP="00433C65">
                  <w:pPr>
                    <w:ind w:firstLine="0"/>
                    <w:jc w:val="left"/>
                    <w:rPr>
                      <w:rFonts w:ascii="Times New Roman" w:hAnsi="Times New Roman"/>
                      <w:sz w:val="20"/>
                    </w:rPr>
                  </w:pPr>
                  <w:r w:rsidRPr="00E14A56">
                    <w:rPr>
                      <w:rFonts w:cs="Arial"/>
                      <w:szCs w:val="24"/>
                    </w:rPr>
                    <w:t>Všechny tyto skutečnosti musí být v souladu s navrženou projektovou dokumentací, která vychází ze statického výpočtu. V případě nedodržení nebo změny některé z podmínek může dojít k poškození budovaného díla. V následující tabulce jsou uvedeny rozměry výkopu</w:t>
                  </w:r>
                  <w:r w:rsidR="00433C65">
                    <w:rPr>
                      <w:rFonts w:cs="Arial"/>
                      <w:szCs w:val="24"/>
                    </w:rPr>
                    <w:t>,</w:t>
                  </w:r>
                  <w:r w:rsidRPr="00E14A56">
                    <w:rPr>
                      <w:rFonts w:cs="Arial"/>
                      <w:szCs w:val="24"/>
                    </w:rPr>
                    <w:t xml:space="preserve"> vrstev materiálu v</w:t>
                  </w:r>
                  <w:r w:rsidR="00433C65">
                    <w:rPr>
                      <w:rFonts w:cs="Arial"/>
                      <w:szCs w:val="24"/>
                    </w:rPr>
                    <w:t> </w:t>
                  </w:r>
                  <w:r w:rsidRPr="00E14A56">
                    <w:rPr>
                      <w:rFonts w:cs="Arial"/>
                      <w:szCs w:val="24"/>
                    </w:rPr>
                    <w:t>okolí</w:t>
                  </w:r>
                  <w:r w:rsidR="00433C65">
                    <w:rPr>
                      <w:rFonts w:cs="Arial"/>
                      <w:szCs w:val="24"/>
                    </w:rPr>
                    <w:t xml:space="preserve"> t</w:t>
                  </w:r>
                  <w:r w:rsidRPr="00E14A56">
                    <w:rPr>
                      <w:rFonts w:cs="Arial"/>
                      <w:szCs w:val="24"/>
                    </w:rPr>
                    <w:t>rouby</w:t>
                  </w:r>
                  <w:r w:rsidRPr="00E14A56">
                    <w:rPr>
                      <w:rFonts w:ascii="Times New Roman" w:hAnsi="Times New Roman"/>
                      <w:sz w:val="20"/>
                    </w:rPr>
                    <w:t>.</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 w:rsidR="00E14A56" w:rsidRPr="00E14A56" w:rsidRDefault="00E14A56" w:rsidP="00E14A56">
      <w:r w:rsidRPr="00E14A56">
        <w:tab/>
      </w:r>
    </w:p>
    <w:tbl>
      <w:tblPr>
        <w:tblW w:w="5000" w:type="pct"/>
        <w:tblCellSpacing w:w="0" w:type="dxa"/>
        <w:tblCellMar>
          <w:top w:w="45" w:type="dxa"/>
          <w:left w:w="45" w:type="dxa"/>
          <w:bottom w:w="45" w:type="dxa"/>
          <w:right w:w="45" w:type="dxa"/>
        </w:tblCellMar>
        <w:tblLook w:val="04A0"/>
      </w:tblPr>
      <w:tblGrid>
        <w:gridCol w:w="9446"/>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9340"/>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4965"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1173"/>
                    <w:gridCol w:w="1157"/>
                    <w:gridCol w:w="877"/>
                    <w:gridCol w:w="1050"/>
                    <w:gridCol w:w="1043"/>
                    <w:gridCol w:w="1043"/>
                    <w:gridCol w:w="962"/>
                    <w:gridCol w:w="962"/>
                    <w:gridCol w:w="962"/>
                  </w:tblGrid>
                  <w:tr w:rsidR="00E14A56" w:rsidRPr="00E14A56" w:rsidTr="00B57A25">
                    <w:trPr>
                      <w:tblCellSpacing w:w="0" w:type="dxa"/>
                      <w:jc w:val="center"/>
                    </w:trPr>
                    <w:tc>
                      <w:tcPr>
                        <w:tcW w:w="733"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268"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B57A25">
                    <w:trPr>
                      <w:tblCellSpacing w:w="0" w:type="dxa"/>
                      <w:jc w:val="center"/>
                    </w:trPr>
                    <w:tc>
                      <w:tcPr>
                        <w:tcW w:w="733"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268"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B57A25">
                    <w:trPr>
                      <w:tblCellSpacing w:w="0" w:type="dxa"/>
                      <w:jc w:val="center"/>
                    </w:trPr>
                    <w:tc>
                      <w:tcPr>
                        <w:tcW w:w="733"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268" w:type="pct"/>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166</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125</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150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193</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221</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278</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1 186 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343</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1 281 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1 387 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494</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1 490 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648</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900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1 002 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1 852 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726</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1 959 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805</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1 320 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2 170 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1400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1 125  </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433C65" w:rsidRDefault="00E14A56" w:rsidP="00E14A56">
            <w:pPr>
              <w:ind w:firstLine="0"/>
              <w:jc w:val="left"/>
              <w:rPr>
                <w:rFonts w:cs="Arial"/>
                <w:szCs w:val="24"/>
              </w:rPr>
            </w:pPr>
            <w:r w:rsidRPr="00433C65">
              <w:rPr>
                <w:rFonts w:cs="Arial"/>
                <w:szCs w:val="24"/>
                <w:u w:val="single"/>
              </w:rPr>
              <w:t>Poznámka:</w:t>
            </w:r>
            <w:r w:rsidRPr="00433C65">
              <w:rPr>
                <w:rFonts w:cs="Arial"/>
                <w:szCs w:val="24"/>
              </w:rPr>
              <w:t xml:space="preserve"> ve skalnatém a kamenitém podloží a</w:t>
            </w:r>
            <w:r w:rsidRPr="00433C65">
              <w:rPr>
                <w:rFonts w:cs="Arial"/>
                <w:b/>
                <w:bCs/>
                <w:szCs w:val="24"/>
                <w:vertAlign w:val="superscript"/>
              </w:rPr>
              <w:t>*</w:t>
            </w:r>
            <w:r w:rsidRPr="00433C65">
              <w:rPr>
                <w:rFonts w:cs="Arial"/>
                <w:szCs w:val="24"/>
              </w:rPr>
              <w:t xml:space="preserve"> = min. 150 mm</w:t>
            </w:r>
          </w:p>
        </w:tc>
      </w:tr>
    </w:tbl>
    <w:p w:rsidR="00E14A56" w:rsidRPr="00E14A56" w:rsidRDefault="00E14A56" w:rsidP="00E14A56"/>
    <w:p w:rsidR="00E14A56" w:rsidRPr="00E14A56" w:rsidRDefault="00E14A56" w:rsidP="00E14A56"/>
    <w:tbl>
      <w:tblPr>
        <w:tblW w:w="5000" w:type="pct"/>
        <w:tblCellSpacing w:w="0" w:type="dxa"/>
        <w:tblCellMar>
          <w:top w:w="45" w:type="dxa"/>
          <w:left w:w="45" w:type="dxa"/>
          <w:bottom w:w="45" w:type="dxa"/>
          <w:right w:w="45" w:type="dxa"/>
        </w:tblCellMar>
        <w:tblLook w:val="04A0"/>
      </w:tblPr>
      <w:tblGrid>
        <w:gridCol w:w="9446"/>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9340"/>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745"/>
                    <w:gridCol w:w="1157"/>
                    <w:gridCol w:w="877"/>
                    <w:gridCol w:w="1073"/>
                    <w:gridCol w:w="1143"/>
                    <w:gridCol w:w="1143"/>
                    <w:gridCol w:w="1052"/>
                    <w:gridCol w:w="1052"/>
                    <w:gridCol w:w="1052"/>
                  </w:tblGrid>
                  <w:tr w:rsidR="00E14A56" w:rsidRPr="00E14A56" w:rsidTr="0012216A">
                    <w:trPr>
                      <w:tblCellSpacing w:w="0" w:type="dxa"/>
                      <w:jc w:val="center"/>
                    </w:trPr>
                    <w:tc>
                      <w:tcPr>
                        <w:tcW w:w="400"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lastRenderedPageBreak/>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227</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259</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288</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492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1 192 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609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430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1 421 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511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1 531 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591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941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1 791 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671</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433C65" w:rsidRDefault="00E14A56" w:rsidP="00E14A56">
            <w:pPr>
              <w:ind w:firstLine="0"/>
              <w:jc w:val="left"/>
              <w:rPr>
                <w:rFonts w:cs="Arial"/>
                <w:szCs w:val="24"/>
              </w:rPr>
            </w:pPr>
            <w:r w:rsidRPr="00433C65">
              <w:rPr>
                <w:rFonts w:cs="Arial"/>
                <w:szCs w:val="24"/>
                <w:u w:val="single"/>
              </w:rPr>
              <w:t>Poznámka:</w:t>
            </w:r>
            <w:r w:rsidRPr="00433C65">
              <w:rPr>
                <w:rFonts w:cs="Arial"/>
                <w:szCs w:val="24"/>
              </w:rPr>
              <w:t xml:space="preserve"> ve skalnatém a kamenitém podloží a</w:t>
            </w:r>
            <w:r w:rsidRPr="00433C65">
              <w:rPr>
                <w:rFonts w:cs="Arial"/>
                <w:b/>
                <w:bCs/>
                <w:szCs w:val="24"/>
                <w:vertAlign w:val="superscript"/>
              </w:rPr>
              <w:t>*</w:t>
            </w:r>
            <w:r w:rsidRPr="00433C65">
              <w:rPr>
                <w:rFonts w:cs="Arial"/>
                <w:szCs w:val="24"/>
              </w:rPr>
              <w:t xml:space="preserve"> = min. 150 mm</w:t>
            </w:r>
          </w:p>
        </w:tc>
      </w:tr>
    </w:tbl>
    <w:p w:rsidR="00E14A56" w:rsidRPr="00E14A56" w:rsidRDefault="00E14A56" w:rsidP="00E14A56"/>
    <w:p w:rsidR="00E14A56" w:rsidRPr="00E14A56" w:rsidRDefault="00E14A56" w:rsidP="00E14A56"/>
    <w:tbl>
      <w:tblPr>
        <w:tblW w:w="5000" w:type="pct"/>
        <w:tblCellSpacing w:w="0" w:type="dxa"/>
        <w:tblCellMar>
          <w:top w:w="75" w:type="dxa"/>
          <w:left w:w="75" w:type="dxa"/>
          <w:bottom w:w="75" w:type="dxa"/>
          <w:right w:w="75" w:type="dxa"/>
        </w:tblCellMar>
        <w:tblLook w:val="04A0"/>
      </w:tblPr>
      <w:tblGrid>
        <w:gridCol w:w="9506"/>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2.2. Provádění pokládky - NA BETONOVÉ SEDLO</w:t>
            </w:r>
          </w:p>
        </w:tc>
      </w:tr>
      <w:tr w:rsidR="00E14A56" w:rsidRPr="00E14A56" w:rsidTr="0012216A">
        <w:trPr>
          <w:tblCellSpacing w:w="0" w:type="dxa"/>
        </w:trPr>
        <w:tc>
          <w:tcPr>
            <w:tcW w:w="0" w:type="auto"/>
            <w:vAlign w:val="center"/>
            <w:hideMark/>
          </w:tcPr>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na suché neporušené pevné dno rýhy výkopu nasypeme </w:t>
            </w:r>
            <w:r w:rsidRPr="00E14A56">
              <w:rPr>
                <w:rFonts w:cs="Arial"/>
                <w:szCs w:val="24"/>
                <w:u w:val="single"/>
              </w:rPr>
              <w:t>vrstvu sypké betonové směsi</w:t>
            </w:r>
            <w:r w:rsidRPr="00E14A56">
              <w:rPr>
                <w:rFonts w:cs="Arial"/>
                <w:b/>
                <w:bCs/>
                <w:szCs w:val="24"/>
              </w:rPr>
              <w:t>spodní vrstvy lože</w:t>
            </w:r>
            <w:r w:rsidRPr="00E14A56">
              <w:rPr>
                <w:rFonts w:cs="Arial"/>
                <w:szCs w:val="24"/>
              </w:rPr>
              <w:t xml:space="preserve"> (min.100 mm), přesnou tloušťku vrstvy určuje tabulka rozměrů uložení kameninových trub.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provedeme zhutnění této vrstvy vhodným hutnícím mechanismem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v místě předpokládaného umístění hrdla pokládané trouby nebo tvarovky provedeme vyhloubení jamky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za pomoci lopaty, široké motyky nebo jiného vhodného nástroje opatrně provedeme podélné vyprofilování spodní vrstvy lože do tvaru žlábku odpovídající venkovnímu rádiusu trouby viz. obrázek</w:t>
            </w:r>
          </w:p>
          <w:p w:rsidR="00E14A56" w:rsidRPr="00E14A56" w:rsidRDefault="00E14A56" w:rsidP="00E14A56">
            <w:pPr>
              <w:ind w:firstLine="0"/>
              <w:jc w:val="center"/>
              <w:rPr>
                <w:rFonts w:ascii="Times New Roman" w:hAnsi="Times New Roman"/>
                <w:sz w:val="20"/>
              </w:rPr>
            </w:pPr>
            <w:r w:rsidRPr="00E14A56">
              <w:rPr>
                <w:rFonts w:ascii="Times New Roman" w:hAnsi="Times New Roman"/>
                <w:noProof/>
                <w:sz w:val="20"/>
              </w:rPr>
              <w:drawing>
                <wp:inline distT="0" distB="0" distL="0" distR="0">
                  <wp:extent cx="2162175" cy="847725"/>
                  <wp:effectExtent l="0" t="0" r="9525" b="0"/>
                  <wp:docPr id="12" name="obrázek 21" descr="Lož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že"/>
                          <pic:cNvPicPr>
                            <a:picLocks noChangeAspect="1" noChangeArrowheads="1"/>
                          </pic:cNvPicPr>
                        </pic:nvPicPr>
                        <pic:blipFill>
                          <a:blip r:embed="rId12"/>
                          <a:srcRect/>
                          <a:stretch>
                            <a:fillRect/>
                          </a:stretch>
                        </pic:blipFill>
                        <pic:spPr bwMode="auto">
                          <a:xfrm>
                            <a:off x="0" y="0"/>
                            <a:ext cx="2162175" cy="847725"/>
                          </a:xfrm>
                          <a:prstGeom prst="rect">
                            <a:avLst/>
                          </a:prstGeom>
                          <a:noFill/>
                          <a:ln w="9525">
                            <a:noFill/>
                            <a:miter lim="800000"/>
                            <a:headEnd/>
                            <a:tailEnd/>
                          </a:ln>
                        </pic:spPr>
                      </pic:pic>
                    </a:graphicData>
                  </a:graphic>
                </wp:inline>
              </w:drawing>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požadovaného spádu a směru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troubu zavěsíme na montážní popruh - umístnění popruhu do těžiště usnadňuje bílý montážní bod, který je umístněn v těžišti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celého výrobku ( vlastního keramického tělesa trouby i integrovaného těsnění ) zda nedošlo při transportu a manipulacích k poškození. </w:t>
            </w:r>
            <w:r w:rsidRPr="00E14A56">
              <w:rPr>
                <w:rFonts w:cs="Arial"/>
                <w:szCs w:val="24"/>
              </w:rPr>
              <w:lastRenderedPageBreak/>
              <w:t>Vadné nebo i částečně poškozené výrobky zásadně nepoužívat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nanesení kluzného prostředku ( Gleitmittel UK 187 ) na spoj na obou koncích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při manipulacích dbáme na zásadu nepoškození a neznečištění těsnících ploch spoje od zeminy, bláta, betonové směsi atd. To by mohlo vést k poškození spoje při zasouvání a k následné netěsnosti spoje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navedení dříku trouby do hrdla a tím jeho vystředění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zkontrolujeme zda umístnění montážního bílého bodu je </w:t>
            </w:r>
            <w:r w:rsidRPr="00E14A56">
              <w:rPr>
                <w:rFonts w:cs="Arial"/>
                <w:szCs w:val="24"/>
                <w:u w:val="single"/>
              </w:rPr>
              <w:t>orientováno vzhůru</w:t>
            </w:r>
            <w:r w:rsidRPr="00E14A56">
              <w:rPr>
                <w:rFonts w:cs="Arial"/>
                <w:szCs w:val="24"/>
              </w:rPr>
              <w:t xml:space="preserve"> bez jakýchkoliv úhlových odchylek ( u odboček DN &gt; 350 mm montážní barevný pruh na hrdle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za pomoci spojovacího zařízení, pákového mechanismu nebo lžíce bagru zasunutí dříku trouby na doraz do hrdla ( mezi kovové části mechanismů a kameninový trubní materiál vždy vložte dřevěný hranol nebo desku ). Doporučená mezera mezi dosedacími plochami hrdla a dříku trub je 5 až max. 10mm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směrové a výškové orientace. Pokud je během pokládání nutná korektura výšky, musí být výhradně provedena v rozsahu podloží trub, avšak ne podložením kusy zdiva, cihlami, betonovými pražci nebo dřevem. Je nutné dbát na to, aby v podloží nevzniklo žádné místní rozdílné zhutnění. </w:t>
            </w:r>
            <w:r w:rsidRPr="00E14A56">
              <w:rPr>
                <w:rFonts w:cs="Arial"/>
                <w:szCs w:val="24"/>
                <w:u w:val="single"/>
              </w:rPr>
              <w:t>Je zakázáno provádět korektury položeného potrubí údery nebo tlačením trub pomocí lžíce bagru.</w:t>
            </w:r>
            <w:r w:rsidRPr="00E14A56">
              <w:rPr>
                <w:rFonts w:cs="Arial"/>
                <w:szCs w:val="24"/>
              </w:rPr>
              <w:t xml:space="preserve"> Díky příznivé hmotnosti nevyžadují kameninové trouby při pokládání žádná speciální opatření proti posunutí nebo vztlaku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po obou stranách trouby nebo tvarovky rovnoměrně nasypeme betonovou směs tvořící </w:t>
            </w:r>
            <w:r w:rsidRPr="00E14A56">
              <w:rPr>
                <w:rFonts w:cs="Arial"/>
                <w:b/>
                <w:bCs/>
                <w:szCs w:val="24"/>
              </w:rPr>
              <w:t>horní vrstvu lože</w:t>
            </w:r>
            <w:r w:rsidRPr="00E14A56">
              <w:rPr>
                <w:rFonts w:cs="Arial"/>
                <w:szCs w:val="24"/>
              </w:rPr>
              <w:t xml:space="preserve"> v tloušťce odpovídající navrženému úhlu uložení a řádně zhutníme vhodným hutnícím mechanismem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boční obsyp</w:t>
            </w:r>
            <w:r w:rsidRPr="00E14A56">
              <w:rPr>
                <w:rFonts w:cs="Arial"/>
                <w:szCs w:val="24"/>
              </w:rPr>
              <w:t xml:space="preserve"> trub vhodným materiálem ( v případě použití pažení - provedeme povytažení ) a následné řádné zhutnění této vrstvy lehkým hutnícím mechanismem ( vibropěch o celkové hmotnosti od 25 do 60 kg ). Dbáme na zabránění přímého kontaktu pěchu s troubou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v případě použití pažení - provedeme povytažení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krycí obsyp</w:t>
            </w:r>
            <w:r w:rsidRPr="00E14A56">
              <w:rPr>
                <w:rFonts w:cs="Arial"/>
                <w:szCs w:val="24"/>
              </w:rPr>
              <w:t xml:space="preserve"> trub. Zhutnění této vrstvy provedeme s co nejvyšší opatrností lehkým hutnícím mechanismem s tím, že doporučená minimální vrstva hutněného materiálu nad hrdlem trouby je 300mm. ( Použitý lehký vibrační mechanismus </w:t>
            </w:r>
            <w:r w:rsidR="00196064">
              <w:rPr>
                <w:rFonts w:cs="Arial"/>
                <w:szCs w:val="24"/>
              </w:rPr>
              <w:t>–</w:t>
            </w:r>
            <w:r w:rsidRPr="00E14A56">
              <w:rPr>
                <w:rFonts w:cs="Arial"/>
                <w:szCs w:val="24"/>
              </w:rPr>
              <w:t xml:space="preserve">vibropěch o celkové hmotnosti od 25 do 60 kg ). Při hutnění se vyhýbáme pohybu pěchu přímo nad osou uloženého potrubí. Střední a těžké hutnící mechanismy je možné použít jen tehdy, je-li výška zásypu větší jak než 1,0 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 se </w:t>
            </w:r>
            <w:r w:rsidRPr="00E14A56">
              <w:rPr>
                <w:rFonts w:cs="Arial"/>
                <w:b/>
                <w:bCs/>
                <w:szCs w:val="24"/>
              </w:rPr>
              <w:t>hlavní zásyp</w:t>
            </w:r>
            <w:r w:rsidRPr="00E14A56">
              <w:rPr>
                <w:rFonts w:cs="Arial"/>
                <w:szCs w:val="24"/>
              </w:rPr>
              <w:t xml:space="preserve"> rýhy výkopu - po vrstvách dle projektové dokumentace určenou zeminou, způsobem odstraňování pažení a hutněním </w:t>
            </w:r>
          </w:p>
          <w:p w:rsidR="00E14A56" w:rsidRPr="00E14A56" w:rsidRDefault="00E14A56" w:rsidP="00E14A56">
            <w:pPr>
              <w:ind w:firstLine="0"/>
              <w:jc w:val="left"/>
              <w:rPr>
                <w:rFonts w:cs="Arial"/>
                <w:szCs w:val="24"/>
              </w:rPr>
            </w:pPr>
            <w:r w:rsidRPr="00E14A56">
              <w:rPr>
                <w:rFonts w:cs="Arial"/>
                <w:szCs w:val="24"/>
                <w:u w:val="single"/>
              </w:rPr>
              <w:t>Zásada pro hutnění :</w:t>
            </w:r>
            <w:r w:rsidRPr="00E14A56">
              <w:rPr>
                <w:rFonts w:cs="Arial"/>
                <w:szCs w:val="24"/>
              </w:rPr>
              <w:t xml:space="preserve"> Maximální zhutnění je důležité pod a na stranách trouby do výšky odpovídající polovině venkovního průměru. Tím dojde k dobrému podepření trouby !</w:t>
            </w:r>
            <w:r w:rsidRPr="00E14A56">
              <w:rPr>
                <w:rFonts w:cs="Arial"/>
                <w:szCs w:val="24"/>
              </w:rPr>
              <w:br/>
              <w:t>Nejhorší případ pro uložení trouby nastává při uložení na nezhutněné vlhké lože a nezhutněný boční obsyp a po té velmi dobře a intenzivně provedené hutnění krycího obsypu a hlavního zásypu !</w:t>
            </w:r>
          </w:p>
          <w:p w:rsidR="00E14A56" w:rsidRPr="00E14A56" w:rsidRDefault="00E14A56" w:rsidP="00E14A56">
            <w:pPr>
              <w:spacing w:before="100" w:beforeAutospacing="1" w:after="100" w:afterAutospacing="1"/>
              <w:ind w:firstLine="0"/>
              <w:jc w:val="left"/>
              <w:rPr>
                <w:rFonts w:cs="Arial"/>
                <w:szCs w:val="24"/>
              </w:rPr>
            </w:pPr>
            <w:r w:rsidRPr="00E14A56">
              <w:rPr>
                <w:rFonts w:cs="Arial"/>
                <w:szCs w:val="24"/>
                <w:u w:val="single"/>
              </w:rPr>
              <w:t>Doporučení :</w:t>
            </w:r>
            <w:r w:rsidRPr="00E14A56">
              <w:rPr>
                <w:rFonts w:cs="Arial"/>
                <w:szCs w:val="24"/>
              </w:rPr>
              <w:t xml:space="preserve"> pokládku nedoporučujeme provádět při teplotách pod - 5°C</w:t>
            </w:r>
          </w:p>
          <w:p w:rsidR="00E14A56" w:rsidRPr="00E14A56" w:rsidRDefault="00E14A56" w:rsidP="00E14A56">
            <w:pPr>
              <w:ind w:firstLine="0"/>
              <w:jc w:val="left"/>
              <w:rPr>
                <w:rFonts w:ascii="Times New Roman" w:hAnsi="Times New Roman"/>
                <w:sz w:val="20"/>
              </w:rPr>
            </w:pPr>
            <w:r w:rsidRPr="00E14A56">
              <w:rPr>
                <w:rFonts w:ascii="Times New Roman" w:hAnsi="Times New Roman"/>
                <w:sz w:val="20"/>
              </w:rPr>
              <w:t>Příloh</w:t>
            </w:r>
            <w:bookmarkStart w:id="92" w:name="_GoBack"/>
            <w:bookmarkEnd w:id="92"/>
            <w:r w:rsidRPr="00E14A56">
              <w:rPr>
                <w:rFonts w:ascii="Times New Roman" w:hAnsi="Times New Roman"/>
                <w:sz w:val="20"/>
              </w:rPr>
              <w:t xml:space="preserve">a: </w:t>
            </w:r>
            <w:hyperlink r:id="rId13" w:history="1">
              <w:r w:rsidRPr="00E14A56">
                <w:rPr>
                  <w:rFonts w:ascii="Times New Roman" w:hAnsi="Times New Roman"/>
                  <w:color w:val="0000FF"/>
                  <w:sz w:val="20"/>
                  <w:u w:val="single"/>
                </w:rPr>
                <w:t>Vzorový řez uložení kameninového potrubí do NA BETONOVÉ SEDLO</w:t>
              </w:r>
            </w:hyperlink>
          </w:p>
        </w:tc>
      </w:tr>
      <w:tr w:rsidR="00E14A56" w:rsidRPr="00E14A56" w:rsidTr="0012216A">
        <w:trPr>
          <w:tblCellSpacing w:w="0" w:type="dxa"/>
        </w:trPr>
        <w:tc>
          <w:tcPr>
            <w:tcW w:w="0" w:type="auto"/>
            <w:vAlign w:val="center"/>
            <w:hideMark/>
          </w:tcPr>
          <w:tbl>
            <w:tblPr>
              <w:tblW w:w="5000" w:type="pct"/>
              <w:tblCellSpacing w:w="0" w:type="dxa"/>
              <w:tblCellMar>
                <w:left w:w="0" w:type="dxa"/>
                <w:right w:w="0" w:type="dxa"/>
              </w:tblCellMar>
              <w:tblLook w:val="04A0"/>
            </w:tblPr>
            <w:tblGrid>
              <w:gridCol w:w="15"/>
              <w:gridCol w:w="9341"/>
            </w:tblGrid>
            <w:tr w:rsidR="00E14A56" w:rsidRPr="00E14A56" w:rsidTr="0012216A">
              <w:trPr>
                <w:trHeight w:val="15"/>
                <w:tblCellSpacing w:w="0" w:type="dxa"/>
              </w:trPr>
              <w:tc>
                <w:tcPr>
                  <w:tcW w:w="0" w:type="auto"/>
                  <w:vAlign w:val="center"/>
                  <w:hideMark/>
                </w:tcPr>
                <w:p w:rsidR="00E14A56" w:rsidRPr="00E14A56" w:rsidRDefault="00E14A56" w:rsidP="00E14A56">
                  <w:pPr>
                    <w:ind w:firstLine="0"/>
                    <w:jc w:val="left"/>
                    <w:rPr>
                      <w:rFonts w:ascii="Times New Roman" w:hAnsi="Times New Roman"/>
                      <w:szCs w:val="24"/>
                    </w:rPr>
                  </w:pPr>
                  <w:r w:rsidRPr="00E14A56">
                    <w:rPr>
                      <w:rFonts w:ascii="Times New Roman" w:hAnsi="Times New Roman"/>
                      <w:noProof/>
                      <w:szCs w:val="24"/>
                    </w:rPr>
                    <w:lastRenderedPageBreak/>
                    <w:drawing>
                      <wp:inline distT="0" distB="0" distL="0" distR="0">
                        <wp:extent cx="9525" cy="9525"/>
                        <wp:effectExtent l="0" t="0" r="0" b="0"/>
                        <wp:docPr id="13" name="obrázek 22"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eramo-kamenina.cz/images/help.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000" w:type="pct"/>
                  <w:shd w:val="clear" w:color="auto" w:fill="5F5F5F"/>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28575"/>
                        <wp:effectExtent l="0" t="0" r="0" b="0"/>
                        <wp:docPr id="14" name="obrázek 2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keramo-kamenina.cz/images/help.gif"/>
                                <pic:cNvPicPr>
                                  <a:picLocks noChangeAspect="1" noChangeArrowheads="1"/>
                                </pic:cNvPicPr>
                              </pic:nvPicPr>
                              <pic:blipFill>
                                <a:blip r:embed="rId10"/>
                                <a:srcRect/>
                                <a:stretch>
                                  <a:fillRect/>
                                </a:stretch>
                              </pic:blipFill>
                              <pic:spPr bwMode="auto">
                                <a:xfrm>
                                  <a:off x="0" y="0"/>
                                  <a:ext cx="9525" cy="285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left"/>
              <w:rPr>
                <w:rFonts w:ascii="Times New Roman" w:hAnsi="Times New Roman"/>
                <w:sz w:val="20"/>
              </w:rPr>
            </w:pPr>
          </w:p>
        </w:tc>
      </w:tr>
    </w:tbl>
    <w:p w:rsidR="00E14A56" w:rsidRDefault="00E14A56" w:rsidP="00E14A56"/>
    <w:p w:rsidR="00D00650" w:rsidRPr="00C62874" w:rsidRDefault="00D00650" w:rsidP="00D00650">
      <w:pPr>
        <w:pStyle w:val="Nadpis1"/>
      </w:pPr>
      <w:bookmarkStart w:id="93" w:name="_Toc531755796"/>
      <w:r w:rsidRPr="00C62874">
        <w:t>Vytyčovací souřadnice kanalizace</w:t>
      </w:r>
      <w:bookmarkEnd w:id="93"/>
      <w:r w:rsidR="00260B67" w:rsidRPr="00C62874">
        <w:t xml:space="preserve"> a vodovodu</w:t>
      </w:r>
      <w:r w:rsidR="00C62874" w:rsidRPr="00C62874">
        <w:t xml:space="preserve"> – 3.etapa</w:t>
      </w:r>
    </w:p>
    <w:p w:rsidR="005E3E76" w:rsidRPr="00496996" w:rsidRDefault="005E3E76" w:rsidP="005E3E76">
      <w:pPr>
        <w:rPr>
          <w:color w:val="FF0000"/>
        </w:rPr>
      </w:pPr>
    </w:p>
    <w:p w:rsidR="005E3E76" w:rsidRDefault="005E3E76" w:rsidP="005E3E76"/>
    <w:tbl>
      <w:tblPr>
        <w:tblW w:w="6887" w:type="dxa"/>
        <w:tblInd w:w="53" w:type="dxa"/>
        <w:tblCellMar>
          <w:left w:w="70" w:type="dxa"/>
          <w:right w:w="70" w:type="dxa"/>
        </w:tblCellMar>
        <w:tblLook w:val="04A0"/>
      </w:tblPr>
      <w:tblGrid>
        <w:gridCol w:w="2047"/>
        <w:gridCol w:w="974"/>
        <w:gridCol w:w="960"/>
        <w:gridCol w:w="1500"/>
        <w:gridCol w:w="1420"/>
      </w:tblGrid>
      <w:tr w:rsidR="00C62874" w:rsidRPr="00C62874" w:rsidTr="00C62874">
        <w:trPr>
          <w:trHeight w:val="255"/>
        </w:trPr>
        <w:tc>
          <w:tcPr>
            <w:tcW w:w="2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b/>
                <w:bCs/>
                <w:sz w:val="20"/>
              </w:rPr>
            </w:pPr>
            <w:r w:rsidRPr="00C62874">
              <w:rPr>
                <w:rFonts w:cs="Arial"/>
                <w:b/>
                <w:bCs/>
                <w:sz w:val="20"/>
              </w:rPr>
              <w:t>Vytyčovací souřadnice - stoka "B"  - 3.etapa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r>
      <w:tr w:rsidR="00C62874" w:rsidRPr="00C62874" w:rsidTr="00C62874">
        <w:trPr>
          <w:trHeight w:val="255"/>
        </w:trPr>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bookmarkStart w:id="94" w:name="RANGE!A2"/>
            <w:r w:rsidRPr="00C62874">
              <w:rPr>
                <w:rFonts w:cs="Arial"/>
                <w:sz w:val="20"/>
              </w:rPr>
              <w:t>Vrch. bod</w:t>
            </w:r>
            <w:bookmarkEnd w:id="94"/>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Staničení</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Terén</w:t>
            </w:r>
          </w:p>
        </w:tc>
        <w:tc>
          <w:tcPr>
            <w:tcW w:w="150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center"/>
              <w:rPr>
                <w:rFonts w:cs="Arial"/>
                <w:sz w:val="20"/>
              </w:rPr>
            </w:pPr>
            <w:r w:rsidRPr="00C62874">
              <w:rPr>
                <w:rFonts w:cs="Arial"/>
                <w:sz w:val="20"/>
              </w:rPr>
              <w:t>X</w:t>
            </w:r>
          </w:p>
        </w:tc>
        <w:tc>
          <w:tcPr>
            <w:tcW w:w="142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center"/>
              <w:rPr>
                <w:rFonts w:cs="Arial"/>
                <w:sz w:val="20"/>
              </w:rPr>
            </w:pPr>
            <w:r w:rsidRPr="00C62874">
              <w:rPr>
                <w:rFonts w:cs="Arial"/>
                <w:sz w:val="20"/>
              </w:rPr>
              <w:t>Y</w:t>
            </w:r>
          </w:p>
        </w:tc>
      </w:tr>
      <w:tr w:rsidR="00C62874" w:rsidRPr="00C62874" w:rsidTr="00C62874">
        <w:trPr>
          <w:trHeight w:val="255"/>
        </w:trPr>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kanal</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center"/>
              <w:rPr>
                <w:rFonts w:cs="Arial"/>
                <w:sz w:val="20"/>
              </w:rPr>
            </w:pPr>
            <w:r w:rsidRPr="00C62874">
              <w:rPr>
                <w:rFonts w:cs="Arial"/>
                <w:sz w:val="20"/>
              </w:rPr>
              <w:t>2.etapa</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340,68</w:t>
            </w:r>
          </w:p>
        </w:tc>
        <w:tc>
          <w:tcPr>
            <w:tcW w:w="150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-1079489,822</w:t>
            </w:r>
          </w:p>
        </w:tc>
        <w:tc>
          <w:tcPr>
            <w:tcW w:w="142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-727675,145</w:t>
            </w:r>
          </w:p>
        </w:tc>
      </w:tr>
      <w:tr w:rsidR="00C62874" w:rsidRPr="00C62874" w:rsidTr="00C62874">
        <w:trPr>
          <w:trHeight w:val="255"/>
        </w:trPr>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Š21</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32,7</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340,25</w:t>
            </w:r>
          </w:p>
        </w:tc>
        <w:tc>
          <w:tcPr>
            <w:tcW w:w="150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-1079517,07</w:t>
            </w:r>
          </w:p>
        </w:tc>
        <w:tc>
          <w:tcPr>
            <w:tcW w:w="142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-727693,27</w:t>
            </w:r>
          </w:p>
        </w:tc>
      </w:tr>
      <w:tr w:rsidR="00C62874" w:rsidRPr="00C62874" w:rsidTr="00C62874">
        <w:trPr>
          <w:trHeight w:val="255"/>
        </w:trPr>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Š15</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59,8</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340,16</w:t>
            </w:r>
          </w:p>
        </w:tc>
        <w:tc>
          <w:tcPr>
            <w:tcW w:w="150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-1079540,093</w:t>
            </w:r>
          </w:p>
        </w:tc>
        <w:tc>
          <w:tcPr>
            <w:tcW w:w="142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-727707,429</w:t>
            </w:r>
          </w:p>
        </w:tc>
      </w:tr>
      <w:tr w:rsidR="00C62874" w:rsidRPr="00C62874" w:rsidTr="00C62874">
        <w:trPr>
          <w:trHeight w:val="255"/>
        </w:trPr>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Š13</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90,9</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340,07</w:t>
            </w:r>
          </w:p>
        </w:tc>
        <w:tc>
          <w:tcPr>
            <w:tcW w:w="150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-1079565,99</w:t>
            </w:r>
          </w:p>
        </w:tc>
        <w:tc>
          <w:tcPr>
            <w:tcW w:w="142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-727724,75</w:t>
            </w:r>
          </w:p>
        </w:tc>
      </w:tr>
      <w:tr w:rsidR="00C62874" w:rsidRPr="00C62874" w:rsidTr="00C62874">
        <w:trPr>
          <w:trHeight w:val="255"/>
        </w:trPr>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c>
          <w:tcPr>
            <w:tcW w:w="150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c>
          <w:tcPr>
            <w:tcW w:w="142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r>
      <w:tr w:rsidR="00C62874" w:rsidRPr="00C62874" w:rsidTr="00C62874">
        <w:trPr>
          <w:trHeight w:val="255"/>
        </w:trPr>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b/>
                <w:bCs/>
                <w:sz w:val="20"/>
              </w:rPr>
            </w:pPr>
            <w:r w:rsidRPr="00C62874">
              <w:rPr>
                <w:rFonts w:cs="Arial"/>
                <w:b/>
                <w:bCs/>
                <w:sz w:val="20"/>
              </w:rPr>
              <w:t>Vodovodní řad "K25"</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c>
          <w:tcPr>
            <w:tcW w:w="150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c>
          <w:tcPr>
            <w:tcW w:w="142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 </w:t>
            </w:r>
          </w:p>
        </w:tc>
      </w:tr>
      <w:tr w:rsidR="00C62874" w:rsidRPr="00C62874" w:rsidTr="00C62874">
        <w:trPr>
          <w:trHeight w:val="255"/>
        </w:trPr>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Vrch. bod</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Staničení</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Terén</w:t>
            </w:r>
          </w:p>
        </w:tc>
        <w:tc>
          <w:tcPr>
            <w:tcW w:w="150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center"/>
              <w:rPr>
                <w:rFonts w:cs="Arial"/>
                <w:sz w:val="20"/>
              </w:rPr>
            </w:pPr>
            <w:r w:rsidRPr="00C62874">
              <w:rPr>
                <w:rFonts w:cs="Arial"/>
                <w:sz w:val="20"/>
              </w:rPr>
              <w:t>X</w:t>
            </w:r>
          </w:p>
        </w:tc>
        <w:tc>
          <w:tcPr>
            <w:tcW w:w="142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center"/>
              <w:rPr>
                <w:rFonts w:cs="Arial"/>
                <w:sz w:val="20"/>
              </w:rPr>
            </w:pPr>
            <w:r w:rsidRPr="00C62874">
              <w:rPr>
                <w:rFonts w:cs="Arial"/>
                <w:sz w:val="20"/>
              </w:rPr>
              <w:t>Y</w:t>
            </w:r>
          </w:p>
        </w:tc>
      </w:tr>
      <w:tr w:rsidR="00C62874" w:rsidRPr="00C62874" w:rsidTr="00C62874">
        <w:trPr>
          <w:trHeight w:val="255"/>
        </w:trPr>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voda</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center"/>
              <w:rPr>
                <w:rFonts w:cs="Arial"/>
                <w:sz w:val="20"/>
              </w:rPr>
            </w:pPr>
            <w:r w:rsidRPr="00C62874">
              <w:rPr>
                <w:rFonts w:cs="Arial"/>
                <w:sz w:val="20"/>
              </w:rPr>
              <w:t>2.etapa</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340,71</w:t>
            </w:r>
          </w:p>
        </w:tc>
        <w:tc>
          <w:tcPr>
            <w:tcW w:w="150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-1079488,072</w:t>
            </w:r>
          </w:p>
        </w:tc>
        <w:tc>
          <w:tcPr>
            <w:tcW w:w="142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-727677,871</w:t>
            </w:r>
          </w:p>
        </w:tc>
      </w:tr>
      <w:tr w:rsidR="00C62874" w:rsidRPr="00C62874" w:rsidTr="00C62874">
        <w:trPr>
          <w:trHeight w:val="255"/>
        </w:trPr>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H3</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64,1</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340,08</w:t>
            </w:r>
          </w:p>
        </w:tc>
        <w:tc>
          <w:tcPr>
            <w:tcW w:w="150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-1079541,69</w:t>
            </w:r>
          </w:p>
        </w:tc>
        <w:tc>
          <w:tcPr>
            <w:tcW w:w="142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-727712,95</w:t>
            </w:r>
          </w:p>
        </w:tc>
      </w:tr>
      <w:tr w:rsidR="00C62874" w:rsidRPr="00C62874" w:rsidTr="00C62874">
        <w:trPr>
          <w:trHeight w:val="255"/>
        </w:trPr>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C62874" w:rsidRPr="00C62874" w:rsidRDefault="00C62874" w:rsidP="00C62874">
            <w:pPr>
              <w:ind w:firstLine="0"/>
              <w:jc w:val="left"/>
              <w:rPr>
                <w:rFonts w:cs="Arial"/>
                <w:sz w:val="20"/>
              </w:rPr>
            </w:pPr>
            <w:r w:rsidRPr="00C62874">
              <w:rPr>
                <w:rFonts w:cs="Arial"/>
                <w:sz w:val="20"/>
              </w:rPr>
              <w:t>H4</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89,8</w:t>
            </w:r>
          </w:p>
        </w:tc>
        <w:tc>
          <w:tcPr>
            <w:tcW w:w="96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340,00</w:t>
            </w:r>
          </w:p>
        </w:tc>
        <w:tc>
          <w:tcPr>
            <w:tcW w:w="150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-1079563,13</w:t>
            </w:r>
          </w:p>
        </w:tc>
        <w:tc>
          <w:tcPr>
            <w:tcW w:w="1420" w:type="dxa"/>
            <w:tcBorders>
              <w:top w:val="nil"/>
              <w:left w:val="nil"/>
              <w:bottom w:val="single" w:sz="4" w:space="0" w:color="auto"/>
              <w:right w:val="single" w:sz="4" w:space="0" w:color="auto"/>
            </w:tcBorders>
            <w:shd w:val="clear" w:color="auto" w:fill="auto"/>
            <w:noWrap/>
            <w:vAlign w:val="bottom"/>
            <w:hideMark/>
          </w:tcPr>
          <w:p w:rsidR="00C62874" w:rsidRPr="00C62874" w:rsidRDefault="00C62874" w:rsidP="00C62874">
            <w:pPr>
              <w:ind w:firstLine="0"/>
              <w:jc w:val="right"/>
              <w:rPr>
                <w:rFonts w:cs="Arial"/>
                <w:sz w:val="20"/>
              </w:rPr>
            </w:pPr>
            <w:r w:rsidRPr="00C62874">
              <w:rPr>
                <w:rFonts w:cs="Arial"/>
                <w:sz w:val="20"/>
              </w:rPr>
              <w:t>-727727,113</w:t>
            </w:r>
          </w:p>
        </w:tc>
      </w:tr>
    </w:tbl>
    <w:p w:rsidR="00C62874" w:rsidRDefault="00C62874" w:rsidP="005E3E76"/>
    <w:p w:rsidR="00C62874" w:rsidRDefault="00C62874" w:rsidP="005E3E76"/>
    <w:p w:rsidR="00E14A56" w:rsidRPr="00E14A56" w:rsidRDefault="00E14A56" w:rsidP="008C4924">
      <w:pPr>
        <w:pStyle w:val="Nadpis1"/>
      </w:pPr>
      <w:bookmarkStart w:id="95" w:name="_Toc23258336"/>
      <w:bookmarkStart w:id="96" w:name="_Toc96386892"/>
      <w:bookmarkStart w:id="97" w:name="_Toc114834104"/>
      <w:bookmarkStart w:id="98" w:name="_Toc115331639"/>
      <w:bookmarkStart w:id="99" w:name="_Toc117505787"/>
      <w:bookmarkStart w:id="100" w:name="_Toc284853487"/>
      <w:bookmarkStart w:id="101" w:name="_Toc285550816"/>
      <w:bookmarkStart w:id="102" w:name="_Toc338677105"/>
      <w:bookmarkStart w:id="103" w:name="_Toc409601653"/>
      <w:bookmarkStart w:id="104" w:name="_Toc430160343"/>
      <w:bookmarkStart w:id="105" w:name="_Toc531755797"/>
      <w:r w:rsidRPr="00E14A56">
        <w:t>Kontrola jakosti</w:t>
      </w:r>
      <w:bookmarkEnd w:id="95"/>
      <w:bookmarkEnd w:id="96"/>
      <w:bookmarkEnd w:id="97"/>
      <w:bookmarkEnd w:id="98"/>
      <w:bookmarkEnd w:id="99"/>
      <w:bookmarkEnd w:id="100"/>
      <w:bookmarkEnd w:id="101"/>
      <w:bookmarkEnd w:id="102"/>
      <w:bookmarkEnd w:id="103"/>
      <w:bookmarkEnd w:id="104"/>
      <w:bookmarkEnd w:id="105"/>
    </w:p>
    <w:p w:rsidR="00E14A56" w:rsidRPr="007747BC" w:rsidRDefault="00E14A56" w:rsidP="00E14A56">
      <w:pPr>
        <w:pStyle w:val="Nadpis2"/>
        <w:rPr>
          <w:bCs/>
        </w:rPr>
      </w:pPr>
      <w:bookmarkStart w:id="106" w:name="_Toc23258337"/>
      <w:bookmarkStart w:id="107" w:name="_Toc96386893"/>
      <w:bookmarkStart w:id="108" w:name="_Toc114834105"/>
      <w:bookmarkStart w:id="109" w:name="_Toc115331640"/>
      <w:bookmarkStart w:id="110" w:name="_Toc117505788"/>
      <w:bookmarkStart w:id="111" w:name="_Toc284853488"/>
      <w:bookmarkStart w:id="112" w:name="_Toc285550817"/>
      <w:bookmarkStart w:id="113" w:name="_Toc338677106"/>
      <w:bookmarkStart w:id="114" w:name="_Toc409601654"/>
      <w:bookmarkStart w:id="115" w:name="_Toc430160344"/>
      <w:bookmarkStart w:id="116" w:name="_Toc531755798"/>
      <w:r w:rsidRPr="00E14A56">
        <w:t>Zkouška vodotěsnosti stoky</w:t>
      </w:r>
      <w:bookmarkEnd w:id="106"/>
      <w:bookmarkEnd w:id="107"/>
      <w:bookmarkEnd w:id="108"/>
      <w:bookmarkEnd w:id="109"/>
      <w:bookmarkEnd w:id="110"/>
      <w:bookmarkEnd w:id="111"/>
      <w:bookmarkEnd w:id="112"/>
      <w:bookmarkEnd w:id="113"/>
      <w:bookmarkEnd w:id="114"/>
      <w:bookmarkEnd w:id="115"/>
      <w:bookmarkEnd w:id="116"/>
    </w:p>
    <w:p w:rsidR="00E14A56" w:rsidRPr="00E14A56" w:rsidRDefault="00E14A56" w:rsidP="00E14A56">
      <w:pPr>
        <w:ind w:left="284" w:firstLine="283"/>
      </w:pPr>
      <w:r w:rsidRPr="00E14A56">
        <w:t xml:space="preserve">Stoky s gravitačním průtokem odpadních vod s průtočnou plochou do </w:t>
      </w:r>
      <w:smartTag w:uri="urn:schemas-microsoft-com:office:smarttags" w:element="metricconverter">
        <w:smartTagPr>
          <w:attr w:name="ProductID" w:val="4 m2"/>
        </w:smartTagPr>
        <w:r w:rsidRPr="00E14A56">
          <w:t>4 m</w:t>
        </w:r>
        <w:r w:rsidRPr="00E14A56">
          <w:rPr>
            <w:vertAlign w:val="superscript"/>
          </w:rPr>
          <w:t>2</w:t>
        </w:r>
      </w:smartTag>
      <w:r w:rsidRPr="00E14A56">
        <w:t xml:space="preserve">, včetně zkoušek vodotěsnosti vstupních šachet, případně dalších objektů podle ČSN 75 6101 (1995) se zkouší podle normy ČSN 75 6906 „Zkoušky vodotěsnosti stok“. Stoky se zkoušejí na vodotěsnost zkušebním přetlakem vody způsobeným výškou vodního sloupce nejvýše </w:t>
      </w:r>
      <w:smartTag w:uri="urn:schemas-microsoft-com:office:smarttags" w:element="metricconverter">
        <w:smartTagPr>
          <w:attr w:name="ProductID" w:val="4 m"/>
        </w:smartTagPr>
        <w:r w:rsidRPr="00E14A56">
          <w:t>4 m</w:t>
        </w:r>
      </w:smartTag>
      <w:r w:rsidRPr="00E14A56">
        <w:t xml:space="preserve"> nade dnem stoky na dolním konci zkoušeného úseku.</w:t>
      </w:r>
      <w:r w:rsidR="00456E09">
        <w:t xml:space="preserve"> Současně se také provede kamerový průzkum, který bude součástí předávacího protokolu stavby</w:t>
      </w:r>
    </w:p>
    <w:p w:rsidR="007B3C12" w:rsidRDefault="00E14A56" w:rsidP="008C4924">
      <w:pPr>
        <w:ind w:left="284" w:firstLine="283"/>
      </w:pPr>
      <w:r w:rsidRPr="00E14A56">
        <w:t>O zkouškách vodotěsnosti se sepíše zkušební protokol.</w:t>
      </w:r>
    </w:p>
    <w:p w:rsidR="007B3C12" w:rsidRDefault="007B3C12" w:rsidP="007B3C12">
      <w:pPr>
        <w:pStyle w:val="Nadpis2"/>
      </w:pPr>
      <w:bookmarkStart w:id="117" w:name="_Toc411329091"/>
      <w:bookmarkStart w:id="118" w:name="_Toc526164865"/>
      <w:bookmarkStart w:id="119" w:name="_Toc531755799"/>
      <w:r>
        <w:t>Tlaková zkouška</w:t>
      </w:r>
      <w:bookmarkEnd w:id="117"/>
      <w:bookmarkEnd w:id="118"/>
      <w:bookmarkEnd w:id="119"/>
    </w:p>
    <w:p w:rsidR="00260B67" w:rsidRPr="00260B67" w:rsidRDefault="00260B67" w:rsidP="00260B67"/>
    <w:p w:rsidR="007B3C12" w:rsidRDefault="007B3C12" w:rsidP="007747BC">
      <w:pPr>
        <w:pStyle w:val="Zkladntextodsazen"/>
      </w:pPr>
      <w:r>
        <w:t xml:space="preserve">Každé tlakové vodovodní potrubí se musí odzkoušet dle ČSN 75 </w:t>
      </w:r>
      <w:smartTag w:uri="urn:schemas-microsoft-com:office:smarttags" w:element="metricconverter">
        <w:smartTagPr>
          <w:attr w:name="ProductID" w:val="5911 a"/>
        </w:smartTagPr>
        <w:r>
          <w:t>5911 a</w:t>
        </w:r>
      </w:smartTag>
      <w:r>
        <w:t xml:space="preserve"> provede se o této zkoušce zápis, zda potrubí vyhovuje. Pak je možno dosypat vynechaná místa pískem.  </w:t>
      </w:r>
    </w:p>
    <w:p w:rsidR="00701EDF" w:rsidRDefault="00701EDF" w:rsidP="00701EDF">
      <w:pPr>
        <w:pStyle w:val="Nadpis1"/>
        <w:rPr>
          <w:sz w:val="24"/>
          <w:szCs w:val="24"/>
        </w:rPr>
      </w:pPr>
      <w:bookmarkStart w:id="120" w:name="_Toc331594191"/>
      <w:bookmarkStart w:id="121" w:name="_Toc531755800"/>
      <w:r w:rsidRPr="007747BC">
        <w:rPr>
          <w:sz w:val="24"/>
          <w:szCs w:val="24"/>
        </w:rPr>
        <w:t>Kontrolní prohlídka stavby</w:t>
      </w:r>
      <w:bookmarkEnd w:id="120"/>
      <w:bookmarkEnd w:id="121"/>
    </w:p>
    <w:p w:rsidR="00433C65" w:rsidRPr="00433C65" w:rsidRDefault="00433C65" w:rsidP="00433C65"/>
    <w:p w:rsidR="00701EDF" w:rsidRDefault="00701EDF" w:rsidP="00701EDF">
      <w:pPr>
        <w:pStyle w:val="Zkladntextodsazen"/>
        <w:rPr>
          <w:rFonts w:cs="Arial"/>
        </w:rPr>
      </w:pPr>
      <w:r>
        <w:rPr>
          <w:rFonts w:cs="Arial"/>
        </w:rPr>
        <w:t xml:space="preserve">Kontrolní prohlídka stavby dle § 133 a 134 zák.č. 183/2006 Sb., stavebního zákona, v platném znění bude v tomto případě provedena při zahájení stavebního řízení a vodoprávního řízení stavby. </w:t>
      </w:r>
    </w:p>
    <w:p w:rsidR="00701EDF" w:rsidRDefault="00701EDF" w:rsidP="00701EDF">
      <w:pPr>
        <w:pStyle w:val="Zkladntextodsazen"/>
        <w:rPr>
          <w:rFonts w:cs="Arial"/>
        </w:rPr>
      </w:pPr>
      <w:r>
        <w:rPr>
          <w:rFonts w:cs="Arial"/>
        </w:rPr>
        <w:t>Další kontrolní prohlídky budou provedeny během provádění vlastní stavby, a to při provádění jak tlakových zkoušek vodovodního řadu, tak i při kamerových zkouškách kanalizační stoky.</w:t>
      </w:r>
    </w:p>
    <w:p w:rsidR="00336013" w:rsidRDefault="00701EDF" w:rsidP="00701EDF">
      <w:pPr>
        <w:pStyle w:val="Zkladntextodsazen"/>
        <w:rPr>
          <w:rFonts w:cs="Arial"/>
        </w:rPr>
      </w:pPr>
      <w:r>
        <w:rPr>
          <w:rFonts w:cs="Arial"/>
        </w:rPr>
        <w:lastRenderedPageBreak/>
        <w:t xml:space="preserve">K těmto zkouškám budou vždy přizvání zástupci provozovatele tj. VHS Benešov-středisko Benešov, dále zástupci Odboru životního prostředí MÚ Benešov, včetně investora stavby. </w:t>
      </w:r>
    </w:p>
    <w:p w:rsidR="00E14A56" w:rsidRPr="00351BF0" w:rsidRDefault="00E14A56" w:rsidP="008C4924">
      <w:pPr>
        <w:pStyle w:val="Nadpis1"/>
      </w:pPr>
      <w:bookmarkStart w:id="122" w:name="_Toc430160346"/>
      <w:bookmarkStart w:id="123" w:name="_Toc531755801"/>
      <w:r w:rsidRPr="00351BF0">
        <w:t>Upozornění pro investora a dodavatele stavby:</w:t>
      </w:r>
      <w:bookmarkEnd w:id="122"/>
      <w:bookmarkEnd w:id="123"/>
    </w:p>
    <w:p w:rsidR="00E14A56" w:rsidRPr="00E14A56" w:rsidRDefault="00E14A56" w:rsidP="00E14A56">
      <w:pPr>
        <w:rPr>
          <w:b/>
          <w:u w:val="single"/>
        </w:rPr>
      </w:pPr>
    </w:p>
    <w:p w:rsidR="00A00D7E" w:rsidRDefault="00A00D7E" w:rsidP="00E14A56">
      <w:pPr>
        <w:pBdr>
          <w:top w:val="single" w:sz="18" w:space="1" w:color="auto"/>
          <w:left w:val="single" w:sz="18" w:space="1" w:color="auto"/>
          <w:bottom w:val="single" w:sz="18" w:space="1" w:color="auto"/>
          <w:right w:val="single" w:sz="18" w:space="1" w:color="auto"/>
        </w:pBdr>
        <w:shd w:val="pct10" w:color="auto" w:fill="auto"/>
        <w:rPr>
          <w:rFonts w:cs="Arial"/>
          <w:b/>
        </w:rPr>
      </w:pPr>
      <w:r>
        <w:rPr>
          <w:rFonts w:cs="Arial"/>
          <w:b/>
        </w:rPr>
        <w:t>V zakresleném staveništi se nacházejí podzemní a nadzemní vedení NN a VN, sdělovací vedení Cetin, veřejné osvětlení</w:t>
      </w:r>
      <w:r w:rsidR="00575B23">
        <w:rPr>
          <w:rFonts w:cs="Arial"/>
          <w:b/>
        </w:rPr>
        <w:t>, kanalizace, vodovod a STL plynovod.</w:t>
      </w:r>
    </w:p>
    <w:p w:rsidR="00433C65" w:rsidRPr="00433C65" w:rsidRDefault="00E14A56" w:rsidP="00433C65">
      <w:pPr>
        <w:pBdr>
          <w:top w:val="single" w:sz="18" w:space="1" w:color="auto"/>
          <w:left w:val="single" w:sz="18" w:space="1" w:color="auto"/>
          <w:bottom w:val="single" w:sz="18" w:space="1" w:color="auto"/>
          <w:right w:val="single" w:sz="18" w:space="1" w:color="auto"/>
        </w:pBdr>
        <w:shd w:val="pct10" w:color="auto" w:fill="auto"/>
        <w:rPr>
          <w:rFonts w:cs="Arial"/>
          <w:b/>
        </w:rPr>
      </w:pPr>
      <w:r w:rsidRPr="00E14A56">
        <w:rPr>
          <w:rFonts w:cs="Arial"/>
          <w:b/>
        </w:rPr>
        <w:t xml:space="preserve">Před zahájením </w:t>
      </w:r>
      <w:r w:rsidR="00575B23">
        <w:rPr>
          <w:rFonts w:cs="Arial"/>
          <w:b/>
        </w:rPr>
        <w:t xml:space="preserve">stavebních </w:t>
      </w:r>
      <w:r w:rsidRPr="00E14A56">
        <w:rPr>
          <w:rFonts w:cs="Arial"/>
          <w:b/>
        </w:rPr>
        <w:t xml:space="preserve">výkopových prací </w:t>
      </w:r>
      <w:r w:rsidR="00575B23">
        <w:rPr>
          <w:rFonts w:cs="Arial"/>
          <w:b/>
        </w:rPr>
        <w:t>je</w:t>
      </w:r>
      <w:r w:rsidRPr="00E14A56">
        <w:rPr>
          <w:rFonts w:cs="Arial"/>
          <w:b/>
        </w:rPr>
        <w:t xml:space="preserve"> investor stavby </w:t>
      </w:r>
      <w:r w:rsidR="00575B23">
        <w:rPr>
          <w:rFonts w:cs="Arial"/>
          <w:b/>
        </w:rPr>
        <w:t>povinen nechat dotčené sítě ověřit a vytyčit, výkopové práce je nutno provádět ručně a dle dispozic jednotlivých správců.</w:t>
      </w:r>
      <w:bookmarkStart w:id="124" w:name="_Toc531755802"/>
    </w:p>
    <w:p w:rsidR="008B5944" w:rsidRDefault="008B5944" w:rsidP="008B5944">
      <w:pPr>
        <w:pStyle w:val="Nadpis1"/>
        <w:numPr>
          <w:ilvl w:val="0"/>
          <w:numId w:val="0"/>
        </w:numPr>
      </w:pPr>
    </w:p>
    <w:p w:rsidR="00EE4D59" w:rsidRDefault="00321EA7" w:rsidP="005C2797">
      <w:pPr>
        <w:pStyle w:val="Nadpis1"/>
      </w:pPr>
      <w:r>
        <w:t>Závěr</w:t>
      </w:r>
      <w:bookmarkEnd w:id="124"/>
    </w:p>
    <w:p w:rsidR="00EE4D59" w:rsidRDefault="00EE4D59" w:rsidP="005C2797">
      <w:pPr>
        <w:pStyle w:val="Zkladntextodsazen"/>
      </w:pPr>
    </w:p>
    <w:p w:rsidR="00733E93" w:rsidRDefault="00733E93" w:rsidP="00733E93">
      <w:pPr>
        <w:pStyle w:val="Zkladntextodsazen"/>
      </w:pPr>
      <w:r>
        <w:t xml:space="preserve">Navrženou rekonstrukcí </w:t>
      </w:r>
      <w:r w:rsidR="00433C65">
        <w:t>kanalizace a vodovodu</w:t>
      </w:r>
      <w:r>
        <w:t xml:space="preserve"> stoky „</w:t>
      </w:r>
      <w:r w:rsidR="00260B67">
        <w:t>BB</w:t>
      </w:r>
      <w:r w:rsidR="0057545E">
        <w:t xml:space="preserve"> + </w:t>
      </w:r>
      <w:r w:rsidR="009C0635">
        <w:t>K25“ kamenina</w:t>
      </w:r>
      <w:r w:rsidR="0057545E">
        <w:t xml:space="preserve">DN </w:t>
      </w:r>
      <w:r w:rsidR="00F90343">
        <w:t>5</w:t>
      </w:r>
      <w:r w:rsidR="0057545E">
        <w:t>00 mm, vodovod</w:t>
      </w:r>
      <w:r w:rsidR="00433C65">
        <w:t xml:space="preserve"> TLT DN 100 mm</w:t>
      </w:r>
      <w:r>
        <w:t>v této části města Benešov</w:t>
      </w:r>
      <w:r w:rsidR="009C0635">
        <w:t>,</w:t>
      </w:r>
      <w:r>
        <w:t xml:space="preserve"> ulice </w:t>
      </w:r>
      <w:r w:rsidR="00260B67">
        <w:t>Ulrichova</w:t>
      </w:r>
      <w:r>
        <w:t xml:space="preserve">bude trvalé zajištění </w:t>
      </w:r>
      <w:r w:rsidR="0057545E">
        <w:t xml:space="preserve">pitné vody a </w:t>
      </w:r>
      <w:r>
        <w:t>odkanalizování odpadních vod na stávající místní ČOV</w:t>
      </w:r>
      <w:r w:rsidR="00CB0770">
        <w:t xml:space="preserve"> včetně dešťových vod.</w:t>
      </w:r>
    </w:p>
    <w:p w:rsidR="00381B0A" w:rsidRDefault="00381B0A" w:rsidP="005C2797">
      <w:pPr>
        <w:pStyle w:val="Zkladntextodsazen"/>
      </w:pPr>
    </w:p>
    <w:p w:rsidR="00433C65" w:rsidRDefault="00433C65">
      <w:pPr>
        <w:rPr>
          <w:rFonts w:ascii="Times New Roman" w:hAnsi="Times New Roman"/>
          <w:b/>
          <w:sz w:val="32"/>
          <w:szCs w:val="32"/>
        </w:rPr>
      </w:pPr>
    </w:p>
    <w:p w:rsidR="00495FBE" w:rsidRDefault="008B2C0A">
      <w:pPr>
        <w:rPr>
          <w:rFonts w:ascii="Times New Roman" w:hAnsi="Times New Roman"/>
          <w:b/>
          <w:sz w:val="32"/>
          <w:szCs w:val="32"/>
        </w:rPr>
      </w:pPr>
      <w:r>
        <w:rPr>
          <w:rFonts w:ascii="Times New Roman" w:hAnsi="Times New Roman"/>
          <w:b/>
          <w:sz w:val="32"/>
          <w:szCs w:val="32"/>
        </w:rPr>
        <w:t>Prosinec</w:t>
      </w:r>
      <w:r w:rsidR="00496996">
        <w:rPr>
          <w:rFonts w:ascii="Times New Roman" w:hAnsi="Times New Roman"/>
          <w:b/>
          <w:sz w:val="32"/>
          <w:szCs w:val="32"/>
        </w:rPr>
        <w:t xml:space="preserve"> 2020</w:t>
      </w:r>
    </w:p>
    <w:p w:rsidR="00495FBE" w:rsidRDefault="00495FBE">
      <w:pPr>
        <w:rPr>
          <w:rFonts w:ascii="Times New Roman" w:hAnsi="Times New Roman"/>
          <w:b/>
          <w:sz w:val="32"/>
          <w:szCs w:val="32"/>
        </w:rPr>
      </w:pPr>
    </w:p>
    <w:p w:rsidR="00495FBE" w:rsidRDefault="00495FBE">
      <w:pPr>
        <w:rPr>
          <w:rFonts w:ascii="Times New Roman" w:hAnsi="Times New Roman"/>
          <w:b/>
          <w:sz w:val="32"/>
          <w:szCs w:val="32"/>
        </w:rPr>
      </w:pPr>
    </w:p>
    <w:p w:rsidR="00495FBE" w:rsidRDefault="00495FBE">
      <w:pPr>
        <w:rPr>
          <w:rFonts w:ascii="Times New Roman" w:hAnsi="Times New Roman"/>
          <w:b/>
          <w:sz w:val="32"/>
          <w:szCs w:val="32"/>
        </w:rPr>
      </w:pPr>
    </w:p>
    <w:p w:rsidR="00BC1DD2" w:rsidRDefault="00BC1DD2" w:rsidP="00BC1DD2">
      <w:pPr>
        <w:ind w:left="284" w:firstLine="283"/>
        <w:rPr>
          <w:u w:val="single"/>
        </w:rPr>
      </w:pPr>
    </w:p>
    <w:p w:rsidR="00BC1DD2" w:rsidRPr="0046529C" w:rsidRDefault="00BC1DD2" w:rsidP="00BC1DD2">
      <w:pPr>
        <w:ind w:left="851" w:hanging="284"/>
        <w:rPr>
          <w:szCs w:val="24"/>
        </w:rPr>
      </w:pPr>
    </w:p>
    <w:p w:rsidR="00EE5B88" w:rsidRDefault="00EE5B88">
      <w:pPr>
        <w:rPr>
          <w:rFonts w:ascii="Times New Roman" w:hAnsi="Times New Roman"/>
          <w:sz w:val="28"/>
          <w:szCs w:val="28"/>
        </w:rPr>
      </w:pP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sidRPr="00EE5B88">
        <w:rPr>
          <w:rFonts w:ascii="Times New Roman" w:hAnsi="Times New Roman"/>
          <w:sz w:val="28"/>
          <w:szCs w:val="28"/>
        </w:rPr>
        <w:t>Jan Bejček, Vodomont,</w:t>
      </w:r>
    </w:p>
    <w:p w:rsidR="00BC1DD2" w:rsidRDefault="00EE5B88" w:rsidP="00EE5B88">
      <w:pPr>
        <w:ind w:left="2832" w:firstLine="708"/>
        <w:rPr>
          <w:rFonts w:ascii="Times New Roman" w:hAnsi="Times New Roman"/>
          <w:sz w:val="28"/>
          <w:szCs w:val="28"/>
        </w:rPr>
      </w:pPr>
      <w:r>
        <w:rPr>
          <w:rFonts w:ascii="Times New Roman" w:hAnsi="Times New Roman"/>
          <w:sz w:val="28"/>
          <w:szCs w:val="28"/>
        </w:rPr>
        <w:t>Tyršova 1902, 256 01 Benešov</w:t>
      </w:r>
    </w:p>
    <w:p w:rsidR="00EE5B88" w:rsidRDefault="00EE5B88" w:rsidP="00EE5B88">
      <w:pPr>
        <w:ind w:left="2832" w:firstLine="708"/>
        <w:rPr>
          <w:rFonts w:ascii="Times New Roman" w:hAnsi="Times New Roman"/>
          <w:sz w:val="28"/>
          <w:szCs w:val="28"/>
        </w:rPr>
      </w:pPr>
    </w:p>
    <w:p w:rsidR="00EE5B88" w:rsidRDefault="00EE5B88" w:rsidP="00EE5B88">
      <w:pPr>
        <w:ind w:left="2832" w:firstLine="708"/>
        <w:rPr>
          <w:rFonts w:ascii="Times New Roman" w:hAnsi="Times New Roman"/>
          <w:sz w:val="28"/>
          <w:szCs w:val="28"/>
        </w:rPr>
      </w:pPr>
    </w:p>
    <w:p w:rsidR="00EE5B88" w:rsidRPr="00EE5B88" w:rsidRDefault="00EE5B88" w:rsidP="00EE5B88">
      <w:pPr>
        <w:ind w:left="2832" w:firstLine="708"/>
        <w:rPr>
          <w:rFonts w:ascii="Times New Roman" w:hAnsi="Times New Roman"/>
          <w:sz w:val="28"/>
          <w:szCs w:val="28"/>
        </w:rPr>
      </w:pPr>
    </w:p>
    <w:p w:rsidR="00BC1DD2" w:rsidRPr="00EE5B88" w:rsidRDefault="00EE5B88">
      <w:pPr>
        <w:rPr>
          <w:rFonts w:ascii="Times New Roman" w:hAnsi="Times New Roman"/>
          <w:sz w:val="28"/>
          <w:szCs w:val="28"/>
        </w:rPr>
      </w:pPr>
      <w:r w:rsidRPr="00EE5B88">
        <w:rPr>
          <w:rFonts w:ascii="Times New Roman" w:hAnsi="Times New Roman"/>
          <w:sz w:val="28"/>
          <w:szCs w:val="28"/>
        </w:rPr>
        <w:tab/>
      </w:r>
      <w:r w:rsidRPr="00EE5B88">
        <w:rPr>
          <w:rFonts w:ascii="Times New Roman" w:hAnsi="Times New Roman"/>
          <w:sz w:val="28"/>
          <w:szCs w:val="28"/>
        </w:rPr>
        <w:tab/>
      </w:r>
    </w:p>
    <w:sectPr w:rsidR="00BC1DD2" w:rsidRPr="00EE5B88" w:rsidSect="008B2C0A">
      <w:headerReference w:type="default" r:id="rId14"/>
      <w:footerReference w:type="even" r:id="rId15"/>
      <w:footerReference w:type="default" r:id="rId16"/>
      <w:pgSz w:w="11907" w:h="16840" w:code="9"/>
      <w:pgMar w:top="1418" w:right="1275" w:bottom="1701" w:left="1276" w:header="709" w:footer="1162"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6AB" w:rsidRDefault="004276AB">
      <w:r>
        <w:separator/>
      </w:r>
    </w:p>
  </w:endnote>
  <w:endnote w:type="continuationSeparator" w:id="1">
    <w:p w:rsidR="004276AB" w:rsidRDefault="004276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CE">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04F" w:rsidRDefault="000900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20</w:t>
    </w:r>
    <w:r>
      <w:rPr>
        <w:rStyle w:val="slostrnky"/>
      </w:rPr>
      <w:fldChar w:fldCharType="end"/>
    </w:r>
  </w:p>
  <w:p w:rsidR="0009004F" w:rsidRDefault="0009004F">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04F" w:rsidRDefault="000900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0069E">
      <w:rPr>
        <w:rStyle w:val="slostrnky"/>
        <w:noProof/>
      </w:rPr>
      <w:t>1</w:t>
    </w:r>
    <w:r>
      <w:rPr>
        <w:rStyle w:val="slostrnky"/>
      </w:rPr>
      <w:fldChar w:fldCharType="end"/>
    </w:r>
  </w:p>
  <w:p w:rsidR="0009004F" w:rsidRDefault="0009004F">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6AB" w:rsidRDefault="004276AB">
      <w:r>
        <w:separator/>
      </w:r>
    </w:p>
  </w:footnote>
  <w:footnote w:type="continuationSeparator" w:id="1">
    <w:p w:rsidR="004276AB" w:rsidRDefault="004276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04F" w:rsidRDefault="0009004F" w:rsidP="00350A23">
    <w:pPr>
      <w:pStyle w:val="Zhlav"/>
      <w:jc w:val="right"/>
    </w:pPr>
    <w:r>
      <w:t>Technická zpráva Ulrichova 3. část</w:t>
    </w:r>
  </w:p>
  <w:p w:rsidR="0009004F" w:rsidRDefault="0009004F">
    <w:pPr>
      <w:pStyle w:val="Zhlav"/>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5B80BA3"/>
    <w:multiLevelType w:val="hybridMultilevel"/>
    <w:tmpl w:val="34365078"/>
    <w:lvl w:ilvl="0" w:tplc="8A16FF50">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
    <w:nsid w:val="065F157B"/>
    <w:multiLevelType w:val="multilevel"/>
    <w:tmpl w:val="A31A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7F4491"/>
    <w:multiLevelType w:val="hybridMultilevel"/>
    <w:tmpl w:val="7DBE40F2"/>
    <w:lvl w:ilvl="0" w:tplc="DF00B90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nsid w:val="0FBC4F73"/>
    <w:multiLevelType w:val="hybridMultilevel"/>
    <w:tmpl w:val="E8E8C2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4650A9"/>
    <w:multiLevelType w:val="singleLevel"/>
    <w:tmpl w:val="5EC8B3A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18C8770B"/>
    <w:multiLevelType w:val="multilevel"/>
    <w:tmpl w:val="5F04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FD5AAE"/>
    <w:multiLevelType w:val="hybridMultilevel"/>
    <w:tmpl w:val="21FE770C"/>
    <w:lvl w:ilvl="0" w:tplc="04050017">
      <w:start w:val="1"/>
      <w:numFmt w:val="lowerLetter"/>
      <w:lvlText w:val="%1)"/>
      <w:lvlJc w:val="left"/>
      <w:pPr>
        <w:ind w:left="360" w:hanging="360"/>
      </w:pPr>
      <w:rPr>
        <w:rFonts w:hint="default"/>
      </w:rPr>
    </w:lvl>
    <w:lvl w:ilvl="1" w:tplc="04050019">
      <w:start w:val="1"/>
      <w:numFmt w:val="lowerLetter"/>
      <w:lvlText w:val="%2."/>
      <w:lvlJc w:val="left"/>
      <w:pPr>
        <w:ind w:left="149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D55E96"/>
    <w:multiLevelType w:val="hybridMultilevel"/>
    <w:tmpl w:val="1AAEF678"/>
    <w:lvl w:ilvl="0" w:tplc="04050015">
      <w:start w:val="1"/>
      <w:numFmt w:val="upperLetter"/>
      <w:lvlText w:val="%1."/>
      <w:lvlJc w:val="left"/>
      <w:pPr>
        <w:tabs>
          <w:tab w:val="num" w:pos="720"/>
        </w:tabs>
        <w:ind w:left="720" w:hanging="360"/>
      </w:pPr>
      <w:rPr>
        <w:rFonts w:hint="default"/>
      </w:rPr>
    </w:lvl>
    <w:lvl w:ilvl="1" w:tplc="F8C2C174">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C90003D"/>
    <w:multiLevelType w:val="hybridMultilevel"/>
    <w:tmpl w:val="3F78356E"/>
    <w:lvl w:ilvl="0" w:tplc="DE8ADC04">
      <w:start w:val="2"/>
      <w:numFmt w:val="lowerLetter"/>
      <w:lvlText w:val="%1)"/>
      <w:lvlJc w:val="left"/>
      <w:pPr>
        <w:tabs>
          <w:tab w:val="num" w:pos="1272"/>
        </w:tabs>
        <w:ind w:left="1272" w:hanging="705"/>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1">
    <w:nsid w:val="507A3153"/>
    <w:multiLevelType w:val="hybridMultilevel"/>
    <w:tmpl w:val="B190619C"/>
    <w:lvl w:ilvl="0" w:tplc="4C3E65AA">
      <w:start w:val="3"/>
      <w:numFmt w:val="upp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DDA4D53"/>
    <w:multiLevelType w:val="singleLevel"/>
    <w:tmpl w:val="55C49B2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nsid w:val="5F61542B"/>
    <w:multiLevelType w:val="hybridMultilevel"/>
    <w:tmpl w:val="8812927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FD5929"/>
    <w:multiLevelType w:val="singleLevel"/>
    <w:tmpl w:val="68C27A6C"/>
    <w:lvl w:ilvl="0">
      <w:start w:val="1"/>
      <w:numFmt w:val="decimal"/>
      <w:lvlText w:val="%1."/>
      <w:legacy w:legacy="1" w:legacySpace="0" w:legacyIndent="283"/>
      <w:lvlJc w:val="left"/>
    </w:lvl>
  </w:abstractNum>
  <w:abstractNum w:abstractNumId="15">
    <w:nsid w:val="73334B45"/>
    <w:multiLevelType w:val="hybridMultilevel"/>
    <w:tmpl w:val="0EA2E1B2"/>
    <w:lvl w:ilvl="0" w:tplc="2D36CB54">
      <w:start w:val="2"/>
      <w:numFmt w:val="bullet"/>
      <w:lvlText w:val="–"/>
      <w:lvlJc w:val="left"/>
      <w:pPr>
        <w:tabs>
          <w:tab w:val="num" w:pos="1917"/>
        </w:tabs>
        <w:ind w:left="1917" w:hanging="360"/>
      </w:pPr>
      <w:rPr>
        <w:rFonts w:ascii="Times New Roman" w:eastAsia="Times New Roman" w:hAnsi="Times New Roman" w:cs="Times New Roman" w:hint="default"/>
      </w:rPr>
    </w:lvl>
    <w:lvl w:ilvl="1" w:tplc="04050003" w:tentative="1">
      <w:start w:val="1"/>
      <w:numFmt w:val="bullet"/>
      <w:lvlText w:val="o"/>
      <w:lvlJc w:val="left"/>
      <w:pPr>
        <w:tabs>
          <w:tab w:val="num" w:pos="2637"/>
        </w:tabs>
        <w:ind w:left="2637" w:hanging="360"/>
      </w:pPr>
      <w:rPr>
        <w:rFonts w:ascii="Courier New" w:hAnsi="Courier New" w:hint="default"/>
      </w:rPr>
    </w:lvl>
    <w:lvl w:ilvl="2" w:tplc="04050005" w:tentative="1">
      <w:start w:val="1"/>
      <w:numFmt w:val="bullet"/>
      <w:lvlText w:val=""/>
      <w:lvlJc w:val="left"/>
      <w:pPr>
        <w:tabs>
          <w:tab w:val="num" w:pos="3357"/>
        </w:tabs>
        <w:ind w:left="3357" w:hanging="360"/>
      </w:pPr>
      <w:rPr>
        <w:rFonts w:ascii="Wingdings" w:hAnsi="Wingdings" w:hint="default"/>
      </w:rPr>
    </w:lvl>
    <w:lvl w:ilvl="3" w:tplc="04050001" w:tentative="1">
      <w:start w:val="1"/>
      <w:numFmt w:val="bullet"/>
      <w:lvlText w:val=""/>
      <w:lvlJc w:val="left"/>
      <w:pPr>
        <w:tabs>
          <w:tab w:val="num" w:pos="4077"/>
        </w:tabs>
        <w:ind w:left="4077" w:hanging="360"/>
      </w:pPr>
      <w:rPr>
        <w:rFonts w:ascii="Symbol" w:hAnsi="Symbol" w:hint="default"/>
      </w:rPr>
    </w:lvl>
    <w:lvl w:ilvl="4" w:tplc="04050003" w:tentative="1">
      <w:start w:val="1"/>
      <w:numFmt w:val="bullet"/>
      <w:lvlText w:val="o"/>
      <w:lvlJc w:val="left"/>
      <w:pPr>
        <w:tabs>
          <w:tab w:val="num" w:pos="4797"/>
        </w:tabs>
        <w:ind w:left="4797" w:hanging="360"/>
      </w:pPr>
      <w:rPr>
        <w:rFonts w:ascii="Courier New" w:hAnsi="Courier New" w:hint="default"/>
      </w:rPr>
    </w:lvl>
    <w:lvl w:ilvl="5" w:tplc="04050005" w:tentative="1">
      <w:start w:val="1"/>
      <w:numFmt w:val="bullet"/>
      <w:lvlText w:val=""/>
      <w:lvlJc w:val="left"/>
      <w:pPr>
        <w:tabs>
          <w:tab w:val="num" w:pos="5517"/>
        </w:tabs>
        <w:ind w:left="5517" w:hanging="360"/>
      </w:pPr>
      <w:rPr>
        <w:rFonts w:ascii="Wingdings" w:hAnsi="Wingdings" w:hint="default"/>
      </w:rPr>
    </w:lvl>
    <w:lvl w:ilvl="6" w:tplc="04050001" w:tentative="1">
      <w:start w:val="1"/>
      <w:numFmt w:val="bullet"/>
      <w:lvlText w:val=""/>
      <w:lvlJc w:val="left"/>
      <w:pPr>
        <w:tabs>
          <w:tab w:val="num" w:pos="6237"/>
        </w:tabs>
        <w:ind w:left="6237" w:hanging="360"/>
      </w:pPr>
      <w:rPr>
        <w:rFonts w:ascii="Symbol" w:hAnsi="Symbol" w:hint="default"/>
      </w:rPr>
    </w:lvl>
    <w:lvl w:ilvl="7" w:tplc="04050003" w:tentative="1">
      <w:start w:val="1"/>
      <w:numFmt w:val="bullet"/>
      <w:lvlText w:val="o"/>
      <w:lvlJc w:val="left"/>
      <w:pPr>
        <w:tabs>
          <w:tab w:val="num" w:pos="6957"/>
        </w:tabs>
        <w:ind w:left="6957" w:hanging="360"/>
      </w:pPr>
      <w:rPr>
        <w:rFonts w:ascii="Courier New" w:hAnsi="Courier New" w:hint="default"/>
      </w:rPr>
    </w:lvl>
    <w:lvl w:ilvl="8" w:tplc="04050005" w:tentative="1">
      <w:start w:val="1"/>
      <w:numFmt w:val="bullet"/>
      <w:lvlText w:val=""/>
      <w:lvlJc w:val="left"/>
      <w:pPr>
        <w:tabs>
          <w:tab w:val="num" w:pos="7677"/>
        </w:tabs>
        <w:ind w:left="7677" w:hanging="360"/>
      </w:pPr>
      <w:rPr>
        <w:rFonts w:ascii="Wingdings" w:hAnsi="Wingdings" w:hint="default"/>
      </w:rPr>
    </w:lvl>
  </w:abstractNum>
  <w:abstractNum w:abstractNumId="16">
    <w:nsid w:val="781D460D"/>
    <w:multiLevelType w:val="multilevel"/>
    <w:tmpl w:val="4124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776F50"/>
    <w:multiLevelType w:val="hybridMultilevel"/>
    <w:tmpl w:val="9062A538"/>
    <w:lvl w:ilvl="0" w:tplc="0164A5F0">
      <w:start w:val="1"/>
      <w:numFmt w:val="decimal"/>
      <w:lvlText w:val="%1."/>
      <w:lvlJc w:val="left"/>
      <w:pPr>
        <w:ind w:left="885" w:hanging="360"/>
      </w:pPr>
      <w:rPr>
        <w:rFonts w:hint="default"/>
      </w:rPr>
    </w:lvl>
    <w:lvl w:ilvl="1" w:tplc="04050019" w:tentative="1">
      <w:start w:val="1"/>
      <w:numFmt w:val="lowerLetter"/>
      <w:lvlText w:val="%2."/>
      <w:lvlJc w:val="left"/>
      <w:pPr>
        <w:ind w:left="1605" w:hanging="360"/>
      </w:pPr>
    </w:lvl>
    <w:lvl w:ilvl="2" w:tplc="0405001B" w:tentative="1">
      <w:start w:val="1"/>
      <w:numFmt w:val="lowerRoman"/>
      <w:lvlText w:val="%3."/>
      <w:lvlJc w:val="right"/>
      <w:pPr>
        <w:ind w:left="2325" w:hanging="180"/>
      </w:pPr>
    </w:lvl>
    <w:lvl w:ilvl="3" w:tplc="0405000F" w:tentative="1">
      <w:start w:val="1"/>
      <w:numFmt w:val="decimal"/>
      <w:lvlText w:val="%4."/>
      <w:lvlJc w:val="left"/>
      <w:pPr>
        <w:ind w:left="3045" w:hanging="360"/>
      </w:pPr>
    </w:lvl>
    <w:lvl w:ilvl="4" w:tplc="04050019" w:tentative="1">
      <w:start w:val="1"/>
      <w:numFmt w:val="lowerLetter"/>
      <w:lvlText w:val="%5."/>
      <w:lvlJc w:val="left"/>
      <w:pPr>
        <w:ind w:left="3765" w:hanging="360"/>
      </w:pPr>
    </w:lvl>
    <w:lvl w:ilvl="5" w:tplc="0405001B" w:tentative="1">
      <w:start w:val="1"/>
      <w:numFmt w:val="lowerRoman"/>
      <w:lvlText w:val="%6."/>
      <w:lvlJc w:val="right"/>
      <w:pPr>
        <w:ind w:left="4485" w:hanging="180"/>
      </w:pPr>
    </w:lvl>
    <w:lvl w:ilvl="6" w:tplc="0405000F" w:tentative="1">
      <w:start w:val="1"/>
      <w:numFmt w:val="decimal"/>
      <w:lvlText w:val="%7."/>
      <w:lvlJc w:val="left"/>
      <w:pPr>
        <w:ind w:left="5205" w:hanging="360"/>
      </w:pPr>
    </w:lvl>
    <w:lvl w:ilvl="7" w:tplc="04050019" w:tentative="1">
      <w:start w:val="1"/>
      <w:numFmt w:val="lowerLetter"/>
      <w:lvlText w:val="%8."/>
      <w:lvlJc w:val="left"/>
      <w:pPr>
        <w:ind w:left="5925" w:hanging="360"/>
      </w:pPr>
    </w:lvl>
    <w:lvl w:ilvl="8" w:tplc="0405001B" w:tentative="1">
      <w:start w:val="1"/>
      <w:numFmt w:val="lowerRoman"/>
      <w:lvlText w:val="%9."/>
      <w:lvlJc w:val="right"/>
      <w:pPr>
        <w:ind w:left="6645" w:hanging="180"/>
      </w:pPr>
    </w:lvl>
  </w:abstractNum>
  <w:num w:numId="1">
    <w:abstractNumId w:val="0"/>
  </w:num>
  <w:num w:numId="2">
    <w:abstractNumId w:val="14"/>
  </w:num>
  <w:num w:numId="3">
    <w:abstractNumId w:val="6"/>
  </w:num>
  <w:num w:numId="4">
    <w:abstractNumId w:val="1"/>
    <w:lvlOverride w:ilvl="0">
      <w:lvl w:ilvl="0">
        <w:start w:val="1"/>
        <w:numFmt w:val="bullet"/>
        <w:lvlText w:val=""/>
        <w:legacy w:legacy="1" w:legacySpace="0" w:legacyIndent="283"/>
        <w:lvlJc w:val="left"/>
        <w:pPr>
          <w:ind w:left="850" w:hanging="283"/>
        </w:pPr>
        <w:rPr>
          <w:rFonts w:ascii="Wingdings" w:hAnsi="Wingdings" w:hint="default"/>
          <w:b w:val="0"/>
          <w:i w:val="0"/>
          <w:sz w:val="24"/>
          <w:u w:val="none"/>
        </w:rPr>
      </w:lvl>
    </w:lvlOverride>
  </w:num>
  <w:num w:numId="5">
    <w:abstractNumId w:val="12"/>
  </w:num>
  <w:num w:numId="6">
    <w:abstractNumId w:val="15"/>
  </w:num>
  <w:num w:numId="7">
    <w:abstractNumId w:val="9"/>
  </w:num>
  <w:num w:numId="8">
    <w:abstractNumId w:val="2"/>
  </w:num>
  <w:num w:numId="9">
    <w:abstractNumId w:val="10"/>
  </w:num>
  <w:num w:numId="10">
    <w:abstractNumId w:val="13"/>
  </w:num>
  <w:num w:numId="11">
    <w:abstractNumId w:val="8"/>
  </w:num>
  <w:num w:numId="12">
    <w:abstractNumId w:val="17"/>
  </w:num>
  <w:num w:numId="13">
    <w:abstractNumId w:val="11"/>
  </w:num>
  <w:num w:numId="14">
    <w:abstractNumId w:val="4"/>
  </w:num>
  <w:num w:numId="15">
    <w:abstractNumId w:val="7"/>
  </w:num>
  <w:num w:numId="16">
    <w:abstractNumId w:val="16"/>
  </w:num>
  <w:num w:numId="17">
    <w:abstractNumId w:val="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D29A4"/>
    <w:rsid w:val="000006A8"/>
    <w:rsid w:val="00000B0B"/>
    <w:rsid w:val="000037D7"/>
    <w:rsid w:val="0001287F"/>
    <w:rsid w:val="00030454"/>
    <w:rsid w:val="00030F62"/>
    <w:rsid w:val="00031B73"/>
    <w:rsid w:val="00060D71"/>
    <w:rsid w:val="00084657"/>
    <w:rsid w:val="00085176"/>
    <w:rsid w:val="0008766A"/>
    <w:rsid w:val="0009004F"/>
    <w:rsid w:val="0009080F"/>
    <w:rsid w:val="000A661B"/>
    <w:rsid w:val="000B05DC"/>
    <w:rsid w:val="000B352A"/>
    <w:rsid w:val="000C14A4"/>
    <w:rsid w:val="000C2DA7"/>
    <w:rsid w:val="000C5B8D"/>
    <w:rsid w:val="000D33B0"/>
    <w:rsid w:val="000D39CF"/>
    <w:rsid w:val="000E5C24"/>
    <w:rsid w:val="00103C6B"/>
    <w:rsid w:val="001212AF"/>
    <w:rsid w:val="0012216A"/>
    <w:rsid w:val="001242F3"/>
    <w:rsid w:val="001429D1"/>
    <w:rsid w:val="00146D52"/>
    <w:rsid w:val="00147807"/>
    <w:rsid w:val="00164269"/>
    <w:rsid w:val="001673FB"/>
    <w:rsid w:val="00187894"/>
    <w:rsid w:val="00187B36"/>
    <w:rsid w:val="00196064"/>
    <w:rsid w:val="001A672B"/>
    <w:rsid w:val="001A6AB8"/>
    <w:rsid w:val="001B581A"/>
    <w:rsid w:val="001C08AD"/>
    <w:rsid w:val="001D1F5B"/>
    <w:rsid w:val="001D684A"/>
    <w:rsid w:val="001F54C2"/>
    <w:rsid w:val="00216BF4"/>
    <w:rsid w:val="00220700"/>
    <w:rsid w:val="00240DF3"/>
    <w:rsid w:val="002423D8"/>
    <w:rsid w:val="00244B2A"/>
    <w:rsid w:val="002523CD"/>
    <w:rsid w:val="002526AE"/>
    <w:rsid w:val="00260B67"/>
    <w:rsid w:val="0027311F"/>
    <w:rsid w:val="00277BA1"/>
    <w:rsid w:val="002958A7"/>
    <w:rsid w:val="00296C06"/>
    <w:rsid w:val="00297EEA"/>
    <w:rsid w:val="002A4C78"/>
    <w:rsid w:val="002A6030"/>
    <w:rsid w:val="002B5123"/>
    <w:rsid w:val="002B6366"/>
    <w:rsid w:val="002C5059"/>
    <w:rsid w:val="00305785"/>
    <w:rsid w:val="003123FC"/>
    <w:rsid w:val="00321EA7"/>
    <w:rsid w:val="00333369"/>
    <w:rsid w:val="00336013"/>
    <w:rsid w:val="00340888"/>
    <w:rsid w:val="00340911"/>
    <w:rsid w:val="003457B4"/>
    <w:rsid w:val="00350A23"/>
    <w:rsid w:val="00351BF0"/>
    <w:rsid w:val="00357237"/>
    <w:rsid w:val="00370066"/>
    <w:rsid w:val="0037217F"/>
    <w:rsid w:val="00380448"/>
    <w:rsid w:val="00381B0A"/>
    <w:rsid w:val="003823AE"/>
    <w:rsid w:val="003862F3"/>
    <w:rsid w:val="00386843"/>
    <w:rsid w:val="00394F99"/>
    <w:rsid w:val="003977A9"/>
    <w:rsid w:val="00397BD9"/>
    <w:rsid w:val="003A1BBA"/>
    <w:rsid w:val="003B0618"/>
    <w:rsid w:val="003B10B1"/>
    <w:rsid w:val="003B1FD9"/>
    <w:rsid w:val="003B4408"/>
    <w:rsid w:val="003C6244"/>
    <w:rsid w:val="003D07BA"/>
    <w:rsid w:val="003E2AE1"/>
    <w:rsid w:val="003E2F3A"/>
    <w:rsid w:val="003F5301"/>
    <w:rsid w:val="0041108C"/>
    <w:rsid w:val="00414AB2"/>
    <w:rsid w:val="0041623E"/>
    <w:rsid w:val="00420130"/>
    <w:rsid w:val="004276AB"/>
    <w:rsid w:val="00433C65"/>
    <w:rsid w:val="00434E71"/>
    <w:rsid w:val="00435BC1"/>
    <w:rsid w:val="00444145"/>
    <w:rsid w:val="00444EBA"/>
    <w:rsid w:val="00455ECF"/>
    <w:rsid w:val="00456E09"/>
    <w:rsid w:val="0046105E"/>
    <w:rsid w:val="00461402"/>
    <w:rsid w:val="00465EB2"/>
    <w:rsid w:val="004666C1"/>
    <w:rsid w:val="00485546"/>
    <w:rsid w:val="0048638D"/>
    <w:rsid w:val="00495FBE"/>
    <w:rsid w:val="00496996"/>
    <w:rsid w:val="00497898"/>
    <w:rsid w:val="004A0DA0"/>
    <w:rsid w:val="004A1A5C"/>
    <w:rsid w:val="004A3688"/>
    <w:rsid w:val="004A4CED"/>
    <w:rsid w:val="004A4CFF"/>
    <w:rsid w:val="004A51D9"/>
    <w:rsid w:val="004B0262"/>
    <w:rsid w:val="004B2CFF"/>
    <w:rsid w:val="004B4C16"/>
    <w:rsid w:val="004B73A0"/>
    <w:rsid w:val="004C17FD"/>
    <w:rsid w:val="004C1A8A"/>
    <w:rsid w:val="004C6E27"/>
    <w:rsid w:val="004D5190"/>
    <w:rsid w:val="004D5744"/>
    <w:rsid w:val="004E1A9D"/>
    <w:rsid w:val="004E1BFB"/>
    <w:rsid w:val="004F01F4"/>
    <w:rsid w:val="004F10BF"/>
    <w:rsid w:val="004F6482"/>
    <w:rsid w:val="00502977"/>
    <w:rsid w:val="0052462B"/>
    <w:rsid w:val="00525F63"/>
    <w:rsid w:val="00531707"/>
    <w:rsid w:val="00552B43"/>
    <w:rsid w:val="0055462B"/>
    <w:rsid w:val="00556C90"/>
    <w:rsid w:val="00560AC1"/>
    <w:rsid w:val="0057069C"/>
    <w:rsid w:val="00571398"/>
    <w:rsid w:val="0057545E"/>
    <w:rsid w:val="00575B23"/>
    <w:rsid w:val="00583BBB"/>
    <w:rsid w:val="00586BFB"/>
    <w:rsid w:val="0059076F"/>
    <w:rsid w:val="00596BAB"/>
    <w:rsid w:val="005B2AFE"/>
    <w:rsid w:val="005B4ACA"/>
    <w:rsid w:val="005B64D5"/>
    <w:rsid w:val="005C2797"/>
    <w:rsid w:val="005C6307"/>
    <w:rsid w:val="005D2003"/>
    <w:rsid w:val="005D5954"/>
    <w:rsid w:val="005E3E76"/>
    <w:rsid w:val="005E3EB9"/>
    <w:rsid w:val="005E4BB2"/>
    <w:rsid w:val="005F0F8D"/>
    <w:rsid w:val="005F1523"/>
    <w:rsid w:val="006066A8"/>
    <w:rsid w:val="006137B8"/>
    <w:rsid w:val="00617443"/>
    <w:rsid w:val="00622555"/>
    <w:rsid w:val="00636A2E"/>
    <w:rsid w:val="0064185F"/>
    <w:rsid w:val="006545F7"/>
    <w:rsid w:val="0065674A"/>
    <w:rsid w:val="0065761E"/>
    <w:rsid w:val="00660802"/>
    <w:rsid w:val="006707FE"/>
    <w:rsid w:val="00684A4B"/>
    <w:rsid w:val="00685664"/>
    <w:rsid w:val="00687EF0"/>
    <w:rsid w:val="006A430B"/>
    <w:rsid w:val="006B0417"/>
    <w:rsid w:val="006B715C"/>
    <w:rsid w:val="006C3F5D"/>
    <w:rsid w:val="006E6A49"/>
    <w:rsid w:val="006E71BB"/>
    <w:rsid w:val="006E7B40"/>
    <w:rsid w:val="006F00E9"/>
    <w:rsid w:val="00701EDF"/>
    <w:rsid w:val="00704006"/>
    <w:rsid w:val="00712087"/>
    <w:rsid w:val="007133E2"/>
    <w:rsid w:val="00720E34"/>
    <w:rsid w:val="0072550B"/>
    <w:rsid w:val="00727C30"/>
    <w:rsid w:val="00731B4D"/>
    <w:rsid w:val="00733E93"/>
    <w:rsid w:val="0073769C"/>
    <w:rsid w:val="00742A20"/>
    <w:rsid w:val="00754467"/>
    <w:rsid w:val="00754E78"/>
    <w:rsid w:val="00756101"/>
    <w:rsid w:val="007568A8"/>
    <w:rsid w:val="007723BC"/>
    <w:rsid w:val="007747BC"/>
    <w:rsid w:val="00775D3F"/>
    <w:rsid w:val="007809F5"/>
    <w:rsid w:val="00780B0B"/>
    <w:rsid w:val="00783D3F"/>
    <w:rsid w:val="00795C7F"/>
    <w:rsid w:val="007A149F"/>
    <w:rsid w:val="007A4C2A"/>
    <w:rsid w:val="007B3C12"/>
    <w:rsid w:val="007D345A"/>
    <w:rsid w:val="007F0AE0"/>
    <w:rsid w:val="007F2C50"/>
    <w:rsid w:val="007F43B5"/>
    <w:rsid w:val="007F63D6"/>
    <w:rsid w:val="007F78C2"/>
    <w:rsid w:val="00801266"/>
    <w:rsid w:val="00802D3C"/>
    <w:rsid w:val="00814CD2"/>
    <w:rsid w:val="00822677"/>
    <w:rsid w:val="008241B2"/>
    <w:rsid w:val="00825EBD"/>
    <w:rsid w:val="00827CF8"/>
    <w:rsid w:val="008341BD"/>
    <w:rsid w:val="00835B38"/>
    <w:rsid w:val="008445FD"/>
    <w:rsid w:val="0085223C"/>
    <w:rsid w:val="008639AC"/>
    <w:rsid w:val="00881775"/>
    <w:rsid w:val="008868B9"/>
    <w:rsid w:val="00890F73"/>
    <w:rsid w:val="008937EF"/>
    <w:rsid w:val="00894124"/>
    <w:rsid w:val="00895BB4"/>
    <w:rsid w:val="008B2B77"/>
    <w:rsid w:val="008B2C0A"/>
    <w:rsid w:val="008B5944"/>
    <w:rsid w:val="008B619B"/>
    <w:rsid w:val="008B7529"/>
    <w:rsid w:val="008C20DF"/>
    <w:rsid w:val="008C4924"/>
    <w:rsid w:val="008D5079"/>
    <w:rsid w:val="008E5163"/>
    <w:rsid w:val="008E531B"/>
    <w:rsid w:val="008F0D2C"/>
    <w:rsid w:val="008F3C25"/>
    <w:rsid w:val="008F46A9"/>
    <w:rsid w:val="008F5CDF"/>
    <w:rsid w:val="0090069E"/>
    <w:rsid w:val="00905019"/>
    <w:rsid w:val="00923EBA"/>
    <w:rsid w:val="00924116"/>
    <w:rsid w:val="0092595E"/>
    <w:rsid w:val="00933FE1"/>
    <w:rsid w:val="00962875"/>
    <w:rsid w:val="009660B2"/>
    <w:rsid w:val="00985737"/>
    <w:rsid w:val="009900C9"/>
    <w:rsid w:val="009A1F03"/>
    <w:rsid w:val="009A2F51"/>
    <w:rsid w:val="009A4AFF"/>
    <w:rsid w:val="009A4CC5"/>
    <w:rsid w:val="009B04A3"/>
    <w:rsid w:val="009B3073"/>
    <w:rsid w:val="009B3544"/>
    <w:rsid w:val="009B3C20"/>
    <w:rsid w:val="009B4C8B"/>
    <w:rsid w:val="009B5BDB"/>
    <w:rsid w:val="009C0635"/>
    <w:rsid w:val="009C0B65"/>
    <w:rsid w:val="009D29A4"/>
    <w:rsid w:val="009E0C8F"/>
    <w:rsid w:val="009F3133"/>
    <w:rsid w:val="009F39F1"/>
    <w:rsid w:val="009F436A"/>
    <w:rsid w:val="009F7310"/>
    <w:rsid w:val="00A00D7E"/>
    <w:rsid w:val="00A0355E"/>
    <w:rsid w:val="00A1094D"/>
    <w:rsid w:val="00A11484"/>
    <w:rsid w:val="00A22933"/>
    <w:rsid w:val="00A307DE"/>
    <w:rsid w:val="00A3716D"/>
    <w:rsid w:val="00A4162D"/>
    <w:rsid w:val="00A44BB0"/>
    <w:rsid w:val="00A61C3A"/>
    <w:rsid w:val="00A64FEF"/>
    <w:rsid w:val="00A73262"/>
    <w:rsid w:val="00A81F63"/>
    <w:rsid w:val="00A826BE"/>
    <w:rsid w:val="00A87D89"/>
    <w:rsid w:val="00A92906"/>
    <w:rsid w:val="00AA0802"/>
    <w:rsid w:val="00AA38F9"/>
    <w:rsid w:val="00AA3EF0"/>
    <w:rsid w:val="00AA5DA5"/>
    <w:rsid w:val="00AA742E"/>
    <w:rsid w:val="00AC1B3B"/>
    <w:rsid w:val="00AC6C59"/>
    <w:rsid w:val="00AC7A7B"/>
    <w:rsid w:val="00AD2742"/>
    <w:rsid w:val="00AE207E"/>
    <w:rsid w:val="00AE3472"/>
    <w:rsid w:val="00AE5E80"/>
    <w:rsid w:val="00AE791C"/>
    <w:rsid w:val="00AF1023"/>
    <w:rsid w:val="00B001AE"/>
    <w:rsid w:val="00B01294"/>
    <w:rsid w:val="00B05D2D"/>
    <w:rsid w:val="00B11494"/>
    <w:rsid w:val="00B124B1"/>
    <w:rsid w:val="00B15CF1"/>
    <w:rsid w:val="00B167E5"/>
    <w:rsid w:val="00B16ED6"/>
    <w:rsid w:val="00B222B3"/>
    <w:rsid w:val="00B31690"/>
    <w:rsid w:val="00B350C6"/>
    <w:rsid w:val="00B449AD"/>
    <w:rsid w:val="00B51876"/>
    <w:rsid w:val="00B54C4B"/>
    <w:rsid w:val="00B57A25"/>
    <w:rsid w:val="00B9066C"/>
    <w:rsid w:val="00B9345D"/>
    <w:rsid w:val="00BB4E15"/>
    <w:rsid w:val="00BB6797"/>
    <w:rsid w:val="00BC1DD2"/>
    <w:rsid w:val="00BD0944"/>
    <w:rsid w:val="00BD2595"/>
    <w:rsid w:val="00BD7367"/>
    <w:rsid w:val="00BF27CB"/>
    <w:rsid w:val="00BF3722"/>
    <w:rsid w:val="00C07B56"/>
    <w:rsid w:val="00C100A5"/>
    <w:rsid w:val="00C338DC"/>
    <w:rsid w:val="00C57E9B"/>
    <w:rsid w:val="00C62874"/>
    <w:rsid w:val="00C638D6"/>
    <w:rsid w:val="00C65A56"/>
    <w:rsid w:val="00C67047"/>
    <w:rsid w:val="00C81921"/>
    <w:rsid w:val="00C9073C"/>
    <w:rsid w:val="00C91EB2"/>
    <w:rsid w:val="00CA39C3"/>
    <w:rsid w:val="00CA7C1E"/>
    <w:rsid w:val="00CB0770"/>
    <w:rsid w:val="00CB0B65"/>
    <w:rsid w:val="00CB1130"/>
    <w:rsid w:val="00CB4A98"/>
    <w:rsid w:val="00CC283B"/>
    <w:rsid w:val="00CD1660"/>
    <w:rsid w:val="00CE31AB"/>
    <w:rsid w:val="00CF37F8"/>
    <w:rsid w:val="00CF3F2D"/>
    <w:rsid w:val="00CF6C35"/>
    <w:rsid w:val="00CF79A5"/>
    <w:rsid w:val="00D00650"/>
    <w:rsid w:val="00D02ED6"/>
    <w:rsid w:val="00D156FF"/>
    <w:rsid w:val="00D179A2"/>
    <w:rsid w:val="00D219BE"/>
    <w:rsid w:val="00D272A0"/>
    <w:rsid w:val="00D27EC7"/>
    <w:rsid w:val="00D33C2F"/>
    <w:rsid w:val="00D3770D"/>
    <w:rsid w:val="00D4190D"/>
    <w:rsid w:val="00D51B39"/>
    <w:rsid w:val="00D55A61"/>
    <w:rsid w:val="00D61312"/>
    <w:rsid w:val="00D6572D"/>
    <w:rsid w:val="00D66215"/>
    <w:rsid w:val="00D67849"/>
    <w:rsid w:val="00D7185A"/>
    <w:rsid w:val="00D77DB5"/>
    <w:rsid w:val="00D843FD"/>
    <w:rsid w:val="00D93F48"/>
    <w:rsid w:val="00DA16BF"/>
    <w:rsid w:val="00DA3C7A"/>
    <w:rsid w:val="00DB68D0"/>
    <w:rsid w:val="00DC5B8A"/>
    <w:rsid w:val="00DC5F0C"/>
    <w:rsid w:val="00DD3921"/>
    <w:rsid w:val="00DE229F"/>
    <w:rsid w:val="00DE432A"/>
    <w:rsid w:val="00DE5505"/>
    <w:rsid w:val="00DF23F1"/>
    <w:rsid w:val="00DF2A4C"/>
    <w:rsid w:val="00DF645A"/>
    <w:rsid w:val="00E058F8"/>
    <w:rsid w:val="00E106C1"/>
    <w:rsid w:val="00E11283"/>
    <w:rsid w:val="00E13B52"/>
    <w:rsid w:val="00E14A56"/>
    <w:rsid w:val="00E40478"/>
    <w:rsid w:val="00E44C72"/>
    <w:rsid w:val="00E52330"/>
    <w:rsid w:val="00E53CA9"/>
    <w:rsid w:val="00E660E8"/>
    <w:rsid w:val="00E749F2"/>
    <w:rsid w:val="00E84718"/>
    <w:rsid w:val="00E854DF"/>
    <w:rsid w:val="00E860F4"/>
    <w:rsid w:val="00EA5BF6"/>
    <w:rsid w:val="00EC13B4"/>
    <w:rsid w:val="00EE05D8"/>
    <w:rsid w:val="00EE4D59"/>
    <w:rsid w:val="00EE5B88"/>
    <w:rsid w:val="00EE7D77"/>
    <w:rsid w:val="00EF3140"/>
    <w:rsid w:val="00F04853"/>
    <w:rsid w:val="00F052F0"/>
    <w:rsid w:val="00F21765"/>
    <w:rsid w:val="00F2356F"/>
    <w:rsid w:val="00F26FA7"/>
    <w:rsid w:val="00F34B88"/>
    <w:rsid w:val="00F466DE"/>
    <w:rsid w:val="00F50D84"/>
    <w:rsid w:val="00F534CF"/>
    <w:rsid w:val="00F53C20"/>
    <w:rsid w:val="00F5476D"/>
    <w:rsid w:val="00F62A00"/>
    <w:rsid w:val="00F62F95"/>
    <w:rsid w:val="00F65435"/>
    <w:rsid w:val="00F65E51"/>
    <w:rsid w:val="00F67BED"/>
    <w:rsid w:val="00F90343"/>
    <w:rsid w:val="00F9357E"/>
    <w:rsid w:val="00F956FB"/>
    <w:rsid w:val="00F95BDE"/>
    <w:rsid w:val="00FA675C"/>
    <w:rsid w:val="00FB0957"/>
    <w:rsid w:val="00FC07DD"/>
    <w:rsid w:val="00FD00A3"/>
    <w:rsid w:val="00FD34A7"/>
    <w:rsid w:val="00FD5473"/>
    <w:rsid w:val="00FD6E3C"/>
    <w:rsid w:val="00FE2AF7"/>
    <w:rsid w:val="00FE63FE"/>
    <w:rsid w:val="00FE7B07"/>
    <w:rsid w:val="00FF1831"/>
    <w:rsid w:val="00FF628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63D6"/>
    <w:pPr>
      <w:ind w:firstLine="567"/>
      <w:jc w:val="both"/>
    </w:pPr>
    <w:rPr>
      <w:rFonts w:ascii="Arial" w:hAnsi="Arial"/>
      <w:sz w:val="24"/>
    </w:rPr>
  </w:style>
  <w:style w:type="paragraph" w:styleId="Nadpis1">
    <w:name w:val="heading 1"/>
    <w:basedOn w:val="Normln"/>
    <w:next w:val="Normln"/>
    <w:link w:val="Nadpis1Char"/>
    <w:uiPriority w:val="99"/>
    <w:qFormat/>
    <w:rsid w:val="007F63D6"/>
    <w:pPr>
      <w:keepNext/>
      <w:numPr>
        <w:numId w:val="1"/>
      </w:numPr>
      <w:spacing w:before="240" w:after="60"/>
      <w:ind w:firstLine="0"/>
      <w:jc w:val="left"/>
      <w:outlineLvl w:val="0"/>
    </w:pPr>
    <w:rPr>
      <w:b/>
      <w:kern w:val="28"/>
      <w:sz w:val="28"/>
      <w:u w:val="single"/>
    </w:rPr>
  </w:style>
  <w:style w:type="paragraph" w:styleId="Nadpis2">
    <w:name w:val="heading 2"/>
    <w:basedOn w:val="Normln"/>
    <w:next w:val="Normln"/>
    <w:link w:val="Nadpis2Char"/>
    <w:uiPriority w:val="99"/>
    <w:qFormat/>
    <w:rsid w:val="007F63D6"/>
    <w:pPr>
      <w:keepNext/>
      <w:numPr>
        <w:ilvl w:val="1"/>
        <w:numId w:val="1"/>
      </w:numPr>
      <w:spacing w:before="240" w:after="60"/>
      <w:ind w:firstLine="0"/>
      <w:jc w:val="left"/>
      <w:outlineLvl w:val="1"/>
    </w:pPr>
    <w:rPr>
      <w:b/>
      <w:u w:val="single"/>
    </w:rPr>
  </w:style>
  <w:style w:type="paragraph" w:styleId="Nadpis3">
    <w:name w:val="heading 3"/>
    <w:basedOn w:val="Normln"/>
    <w:next w:val="Normln"/>
    <w:uiPriority w:val="99"/>
    <w:qFormat/>
    <w:rsid w:val="007F63D6"/>
    <w:pPr>
      <w:keepNext/>
      <w:numPr>
        <w:ilvl w:val="2"/>
        <w:numId w:val="1"/>
      </w:numPr>
      <w:spacing w:before="240" w:after="60"/>
      <w:ind w:firstLine="0"/>
      <w:outlineLvl w:val="2"/>
    </w:pPr>
    <w:rPr>
      <w:b/>
    </w:rPr>
  </w:style>
  <w:style w:type="paragraph" w:styleId="Nadpis4">
    <w:name w:val="heading 4"/>
    <w:basedOn w:val="Normln"/>
    <w:next w:val="Normln"/>
    <w:uiPriority w:val="99"/>
    <w:qFormat/>
    <w:rsid w:val="007F63D6"/>
    <w:pPr>
      <w:keepNext/>
      <w:numPr>
        <w:ilvl w:val="3"/>
        <w:numId w:val="1"/>
      </w:numPr>
      <w:spacing w:before="240" w:after="60"/>
      <w:ind w:firstLine="0"/>
      <w:outlineLvl w:val="3"/>
    </w:pPr>
  </w:style>
  <w:style w:type="paragraph" w:styleId="Nadpis5">
    <w:name w:val="heading 5"/>
    <w:basedOn w:val="Normln"/>
    <w:next w:val="Normln"/>
    <w:uiPriority w:val="99"/>
    <w:qFormat/>
    <w:rsid w:val="007F63D6"/>
    <w:pPr>
      <w:numPr>
        <w:ilvl w:val="4"/>
        <w:numId w:val="1"/>
      </w:numPr>
      <w:spacing w:before="240" w:after="60"/>
      <w:outlineLvl w:val="4"/>
    </w:pPr>
    <w:rPr>
      <w:sz w:val="22"/>
    </w:rPr>
  </w:style>
  <w:style w:type="paragraph" w:styleId="Nadpis6">
    <w:name w:val="heading 6"/>
    <w:basedOn w:val="Normln"/>
    <w:next w:val="Normln"/>
    <w:uiPriority w:val="99"/>
    <w:qFormat/>
    <w:rsid w:val="007F63D6"/>
    <w:pPr>
      <w:numPr>
        <w:ilvl w:val="5"/>
        <w:numId w:val="1"/>
      </w:numPr>
      <w:spacing w:before="240" w:after="60"/>
      <w:outlineLvl w:val="5"/>
    </w:pPr>
    <w:rPr>
      <w:rFonts w:ascii="Times New Roman" w:hAnsi="Times New Roman"/>
      <w:i/>
      <w:sz w:val="22"/>
    </w:rPr>
  </w:style>
  <w:style w:type="paragraph" w:styleId="Nadpis7">
    <w:name w:val="heading 7"/>
    <w:basedOn w:val="Normln"/>
    <w:next w:val="Normln"/>
    <w:uiPriority w:val="99"/>
    <w:qFormat/>
    <w:rsid w:val="007F63D6"/>
    <w:pPr>
      <w:numPr>
        <w:ilvl w:val="6"/>
        <w:numId w:val="1"/>
      </w:numPr>
      <w:spacing w:before="240" w:after="60"/>
      <w:outlineLvl w:val="6"/>
    </w:pPr>
  </w:style>
  <w:style w:type="paragraph" w:styleId="Nadpis8">
    <w:name w:val="heading 8"/>
    <w:basedOn w:val="Normln"/>
    <w:next w:val="Normln"/>
    <w:uiPriority w:val="99"/>
    <w:qFormat/>
    <w:rsid w:val="007F63D6"/>
    <w:pPr>
      <w:numPr>
        <w:ilvl w:val="7"/>
        <w:numId w:val="1"/>
      </w:numPr>
      <w:spacing w:before="240" w:after="60"/>
      <w:outlineLvl w:val="7"/>
    </w:pPr>
    <w:rPr>
      <w:i/>
    </w:rPr>
  </w:style>
  <w:style w:type="paragraph" w:styleId="Nadpis9">
    <w:name w:val="heading 9"/>
    <w:basedOn w:val="Normln"/>
    <w:next w:val="Normln"/>
    <w:uiPriority w:val="99"/>
    <w:qFormat/>
    <w:rsid w:val="007F63D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7F63D6"/>
    <w:pPr>
      <w:tabs>
        <w:tab w:val="center" w:pos="4536"/>
        <w:tab w:val="right" w:pos="9072"/>
      </w:tabs>
    </w:pPr>
  </w:style>
  <w:style w:type="character" w:styleId="slostrnky">
    <w:name w:val="page number"/>
    <w:basedOn w:val="Standardnpsmoodstavce"/>
    <w:semiHidden/>
    <w:rsid w:val="007F63D6"/>
  </w:style>
  <w:style w:type="paragraph" w:styleId="Zhlav">
    <w:name w:val="header"/>
    <w:basedOn w:val="Normln"/>
    <w:semiHidden/>
    <w:rsid w:val="007F63D6"/>
    <w:pPr>
      <w:tabs>
        <w:tab w:val="center" w:pos="4536"/>
        <w:tab w:val="right" w:pos="9072"/>
      </w:tabs>
    </w:pPr>
  </w:style>
  <w:style w:type="paragraph" w:styleId="Obsah1">
    <w:name w:val="toc 1"/>
    <w:basedOn w:val="Normln"/>
    <w:next w:val="Normln"/>
    <w:uiPriority w:val="39"/>
    <w:rsid w:val="007F63D6"/>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7F63D6"/>
    <w:pPr>
      <w:tabs>
        <w:tab w:val="right" w:leader="underscore" w:pos="8221"/>
      </w:tabs>
      <w:spacing w:before="120"/>
      <w:ind w:left="200"/>
    </w:pPr>
    <w:rPr>
      <w:rFonts w:ascii="Times New Roman" w:hAnsi="Times New Roman"/>
      <w:b/>
      <w:sz w:val="22"/>
    </w:rPr>
  </w:style>
  <w:style w:type="paragraph" w:styleId="Obsah3">
    <w:name w:val="toc 3"/>
    <w:basedOn w:val="Normln"/>
    <w:next w:val="Normln"/>
    <w:uiPriority w:val="39"/>
    <w:rsid w:val="007F63D6"/>
    <w:pPr>
      <w:tabs>
        <w:tab w:val="right" w:leader="underscore" w:pos="8221"/>
      </w:tabs>
      <w:ind w:left="400"/>
    </w:pPr>
    <w:rPr>
      <w:rFonts w:ascii="Times New Roman" w:hAnsi="Times New Roman"/>
    </w:rPr>
  </w:style>
  <w:style w:type="paragraph" w:styleId="Obsah4">
    <w:name w:val="toc 4"/>
    <w:basedOn w:val="Normln"/>
    <w:next w:val="Normln"/>
    <w:semiHidden/>
    <w:rsid w:val="007F63D6"/>
    <w:pPr>
      <w:tabs>
        <w:tab w:val="right" w:leader="underscore" w:pos="8221"/>
      </w:tabs>
      <w:ind w:left="600"/>
    </w:pPr>
    <w:rPr>
      <w:rFonts w:ascii="Times New Roman" w:hAnsi="Times New Roman"/>
    </w:rPr>
  </w:style>
  <w:style w:type="paragraph" w:styleId="Obsah5">
    <w:name w:val="toc 5"/>
    <w:basedOn w:val="Normln"/>
    <w:next w:val="Normln"/>
    <w:semiHidden/>
    <w:rsid w:val="007F63D6"/>
    <w:pPr>
      <w:tabs>
        <w:tab w:val="right" w:leader="underscore" w:pos="8221"/>
      </w:tabs>
      <w:ind w:left="800"/>
    </w:pPr>
    <w:rPr>
      <w:rFonts w:ascii="Times New Roman" w:hAnsi="Times New Roman"/>
    </w:rPr>
  </w:style>
  <w:style w:type="paragraph" w:styleId="Obsah6">
    <w:name w:val="toc 6"/>
    <w:basedOn w:val="Normln"/>
    <w:next w:val="Normln"/>
    <w:semiHidden/>
    <w:rsid w:val="007F63D6"/>
    <w:pPr>
      <w:tabs>
        <w:tab w:val="right" w:leader="underscore" w:pos="8221"/>
      </w:tabs>
      <w:ind w:left="1000"/>
    </w:pPr>
    <w:rPr>
      <w:rFonts w:ascii="Times New Roman" w:hAnsi="Times New Roman"/>
    </w:rPr>
  </w:style>
  <w:style w:type="paragraph" w:styleId="Obsah7">
    <w:name w:val="toc 7"/>
    <w:basedOn w:val="Normln"/>
    <w:next w:val="Normln"/>
    <w:semiHidden/>
    <w:rsid w:val="007F63D6"/>
    <w:pPr>
      <w:tabs>
        <w:tab w:val="right" w:leader="underscore" w:pos="8221"/>
      </w:tabs>
      <w:ind w:left="1200"/>
    </w:pPr>
    <w:rPr>
      <w:rFonts w:ascii="Times New Roman" w:hAnsi="Times New Roman"/>
    </w:rPr>
  </w:style>
  <w:style w:type="paragraph" w:styleId="Obsah8">
    <w:name w:val="toc 8"/>
    <w:basedOn w:val="Normln"/>
    <w:next w:val="Normln"/>
    <w:semiHidden/>
    <w:rsid w:val="007F63D6"/>
    <w:pPr>
      <w:tabs>
        <w:tab w:val="right" w:leader="underscore" w:pos="8221"/>
      </w:tabs>
      <w:ind w:left="1400"/>
    </w:pPr>
    <w:rPr>
      <w:rFonts w:ascii="Times New Roman" w:hAnsi="Times New Roman"/>
    </w:rPr>
  </w:style>
  <w:style w:type="paragraph" w:styleId="Obsah9">
    <w:name w:val="toc 9"/>
    <w:basedOn w:val="Normln"/>
    <w:next w:val="Normln"/>
    <w:semiHidden/>
    <w:rsid w:val="007F63D6"/>
    <w:pPr>
      <w:tabs>
        <w:tab w:val="right" w:leader="underscore" w:pos="8221"/>
      </w:tabs>
      <w:ind w:firstLine="0"/>
    </w:pPr>
    <w:rPr>
      <w:rFonts w:ascii="Times New Roman" w:hAnsi="Times New Roman"/>
    </w:rPr>
  </w:style>
  <w:style w:type="character" w:styleId="Odkaznakoment">
    <w:name w:val="annotation reference"/>
    <w:basedOn w:val="Standardnpsmoodstavce"/>
    <w:semiHidden/>
    <w:rsid w:val="007F63D6"/>
    <w:rPr>
      <w:sz w:val="16"/>
    </w:rPr>
  </w:style>
  <w:style w:type="paragraph" w:styleId="Textkomente">
    <w:name w:val="annotation text"/>
    <w:basedOn w:val="Normln"/>
    <w:semiHidden/>
    <w:rsid w:val="007F63D6"/>
    <w:rPr>
      <w:rFonts w:ascii="Times New Roman" w:hAnsi="Times New Roman"/>
    </w:rPr>
  </w:style>
  <w:style w:type="paragraph" w:styleId="Seznamobrzk">
    <w:name w:val="table of figures"/>
    <w:basedOn w:val="Normln"/>
    <w:next w:val="Normln"/>
    <w:semiHidden/>
    <w:rsid w:val="007F63D6"/>
    <w:pPr>
      <w:tabs>
        <w:tab w:val="right" w:leader="dot" w:pos="8221"/>
      </w:tabs>
      <w:ind w:left="480" w:hanging="480"/>
    </w:pPr>
  </w:style>
  <w:style w:type="paragraph" w:styleId="Zkladntextodsazen">
    <w:name w:val="Body Text Indent"/>
    <w:basedOn w:val="Normln"/>
    <w:link w:val="ZkladntextodsazenChar"/>
    <w:rsid w:val="007F63D6"/>
    <w:pPr>
      <w:ind w:left="284" w:firstLine="283"/>
    </w:pPr>
  </w:style>
  <w:style w:type="paragraph" w:styleId="Zkladntextodsazen2">
    <w:name w:val="Body Text Indent 2"/>
    <w:basedOn w:val="Normln"/>
    <w:semiHidden/>
    <w:rsid w:val="007F63D6"/>
    <w:pPr>
      <w:ind w:left="993" w:hanging="426"/>
    </w:pPr>
  </w:style>
  <w:style w:type="paragraph" w:styleId="Zkladntextodsazen3">
    <w:name w:val="Body Text Indent 3"/>
    <w:basedOn w:val="Normln"/>
    <w:semiHidden/>
    <w:rsid w:val="007F63D6"/>
    <w:pPr>
      <w:ind w:left="851" w:hanging="284"/>
    </w:pPr>
  </w:style>
  <w:style w:type="paragraph" w:styleId="Odstavecseseznamem">
    <w:name w:val="List Paragraph"/>
    <w:basedOn w:val="Normln"/>
    <w:qFormat/>
    <w:rsid w:val="007F63D6"/>
    <w:pPr>
      <w:ind w:left="720"/>
      <w:contextualSpacing/>
    </w:pPr>
  </w:style>
  <w:style w:type="paragraph" w:styleId="Zkladntext">
    <w:name w:val="Body Text"/>
    <w:basedOn w:val="Normln"/>
    <w:link w:val="ZkladntextChar"/>
    <w:semiHidden/>
    <w:rsid w:val="009F39F1"/>
    <w:pPr>
      <w:spacing w:after="120"/>
    </w:pPr>
  </w:style>
  <w:style w:type="character" w:customStyle="1" w:styleId="ZkladntextChar">
    <w:name w:val="Základní text Char"/>
    <w:basedOn w:val="Standardnpsmoodstavce"/>
    <w:link w:val="Zkladntext"/>
    <w:semiHidden/>
    <w:rsid w:val="009F39F1"/>
    <w:rPr>
      <w:rFonts w:ascii="Arial" w:hAnsi="Arial"/>
      <w:sz w:val="24"/>
    </w:rPr>
  </w:style>
  <w:style w:type="paragraph" w:styleId="Textbubliny">
    <w:name w:val="Balloon Text"/>
    <w:basedOn w:val="Normln"/>
    <w:link w:val="TextbublinyChar"/>
    <w:uiPriority w:val="99"/>
    <w:semiHidden/>
    <w:unhideWhenUsed/>
    <w:rsid w:val="00E14A56"/>
    <w:rPr>
      <w:rFonts w:ascii="Tahoma" w:hAnsi="Tahoma" w:cs="Tahoma"/>
      <w:sz w:val="16"/>
      <w:szCs w:val="16"/>
    </w:rPr>
  </w:style>
  <w:style w:type="character" w:customStyle="1" w:styleId="TextbublinyChar">
    <w:name w:val="Text bubliny Char"/>
    <w:basedOn w:val="Standardnpsmoodstavce"/>
    <w:link w:val="Textbubliny"/>
    <w:uiPriority w:val="99"/>
    <w:semiHidden/>
    <w:rsid w:val="00E14A56"/>
    <w:rPr>
      <w:rFonts w:ascii="Tahoma" w:hAnsi="Tahoma" w:cs="Tahoma"/>
      <w:sz w:val="16"/>
      <w:szCs w:val="16"/>
    </w:rPr>
  </w:style>
  <w:style w:type="character" w:customStyle="1" w:styleId="Nadpis1Char">
    <w:name w:val="Nadpis 1 Char"/>
    <w:basedOn w:val="Standardnpsmoodstavce"/>
    <w:link w:val="Nadpis1"/>
    <w:uiPriority w:val="99"/>
    <w:rsid w:val="00701EDF"/>
    <w:rPr>
      <w:rFonts w:ascii="Arial" w:hAnsi="Arial"/>
      <w:b/>
      <w:kern w:val="28"/>
      <w:sz w:val="28"/>
      <w:u w:val="single"/>
    </w:rPr>
  </w:style>
  <w:style w:type="character" w:customStyle="1" w:styleId="ZkladntextodsazenChar">
    <w:name w:val="Základní text odsazený Char"/>
    <w:basedOn w:val="Standardnpsmoodstavce"/>
    <w:link w:val="Zkladntextodsazen"/>
    <w:rsid w:val="00701EDF"/>
    <w:rPr>
      <w:rFonts w:ascii="Arial" w:hAnsi="Arial"/>
      <w:sz w:val="24"/>
    </w:rPr>
  </w:style>
  <w:style w:type="character" w:customStyle="1" w:styleId="Nadpis2Char">
    <w:name w:val="Nadpis 2 Char"/>
    <w:basedOn w:val="Standardnpsmoodstavce"/>
    <w:link w:val="Nadpis2"/>
    <w:rsid w:val="00D179A2"/>
    <w:rPr>
      <w:rFonts w:ascii="Arial" w:hAnsi="Arial"/>
      <w:b/>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435091">
      <w:bodyDiv w:val="1"/>
      <w:marLeft w:val="0"/>
      <w:marRight w:val="0"/>
      <w:marTop w:val="0"/>
      <w:marBottom w:val="0"/>
      <w:divBdr>
        <w:top w:val="none" w:sz="0" w:space="0" w:color="auto"/>
        <w:left w:val="none" w:sz="0" w:space="0" w:color="auto"/>
        <w:bottom w:val="none" w:sz="0" w:space="0" w:color="auto"/>
        <w:right w:val="none" w:sz="0" w:space="0" w:color="auto"/>
      </w:divBdr>
    </w:div>
    <w:div w:id="281155463">
      <w:bodyDiv w:val="1"/>
      <w:marLeft w:val="0"/>
      <w:marRight w:val="0"/>
      <w:marTop w:val="0"/>
      <w:marBottom w:val="0"/>
      <w:divBdr>
        <w:top w:val="none" w:sz="0" w:space="0" w:color="auto"/>
        <w:left w:val="none" w:sz="0" w:space="0" w:color="auto"/>
        <w:bottom w:val="none" w:sz="0" w:space="0" w:color="auto"/>
        <w:right w:val="none" w:sz="0" w:space="0" w:color="auto"/>
      </w:divBdr>
    </w:div>
    <w:div w:id="304550783">
      <w:bodyDiv w:val="1"/>
      <w:marLeft w:val="0"/>
      <w:marRight w:val="0"/>
      <w:marTop w:val="0"/>
      <w:marBottom w:val="0"/>
      <w:divBdr>
        <w:top w:val="none" w:sz="0" w:space="0" w:color="auto"/>
        <w:left w:val="none" w:sz="0" w:space="0" w:color="auto"/>
        <w:bottom w:val="none" w:sz="0" w:space="0" w:color="auto"/>
        <w:right w:val="none" w:sz="0" w:space="0" w:color="auto"/>
      </w:divBdr>
    </w:div>
    <w:div w:id="341469048">
      <w:bodyDiv w:val="1"/>
      <w:marLeft w:val="0"/>
      <w:marRight w:val="0"/>
      <w:marTop w:val="0"/>
      <w:marBottom w:val="0"/>
      <w:divBdr>
        <w:top w:val="none" w:sz="0" w:space="0" w:color="auto"/>
        <w:left w:val="none" w:sz="0" w:space="0" w:color="auto"/>
        <w:bottom w:val="none" w:sz="0" w:space="0" w:color="auto"/>
        <w:right w:val="none" w:sz="0" w:space="0" w:color="auto"/>
      </w:divBdr>
    </w:div>
    <w:div w:id="400755522">
      <w:bodyDiv w:val="1"/>
      <w:marLeft w:val="0"/>
      <w:marRight w:val="0"/>
      <w:marTop w:val="0"/>
      <w:marBottom w:val="0"/>
      <w:divBdr>
        <w:top w:val="none" w:sz="0" w:space="0" w:color="auto"/>
        <w:left w:val="none" w:sz="0" w:space="0" w:color="auto"/>
        <w:bottom w:val="none" w:sz="0" w:space="0" w:color="auto"/>
        <w:right w:val="none" w:sz="0" w:space="0" w:color="auto"/>
      </w:divBdr>
    </w:div>
    <w:div w:id="464278433">
      <w:bodyDiv w:val="1"/>
      <w:marLeft w:val="0"/>
      <w:marRight w:val="0"/>
      <w:marTop w:val="0"/>
      <w:marBottom w:val="0"/>
      <w:divBdr>
        <w:top w:val="none" w:sz="0" w:space="0" w:color="auto"/>
        <w:left w:val="none" w:sz="0" w:space="0" w:color="auto"/>
        <w:bottom w:val="none" w:sz="0" w:space="0" w:color="auto"/>
        <w:right w:val="none" w:sz="0" w:space="0" w:color="auto"/>
      </w:divBdr>
    </w:div>
    <w:div w:id="528568757">
      <w:bodyDiv w:val="1"/>
      <w:marLeft w:val="0"/>
      <w:marRight w:val="0"/>
      <w:marTop w:val="0"/>
      <w:marBottom w:val="0"/>
      <w:divBdr>
        <w:top w:val="none" w:sz="0" w:space="0" w:color="auto"/>
        <w:left w:val="none" w:sz="0" w:space="0" w:color="auto"/>
        <w:bottom w:val="none" w:sz="0" w:space="0" w:color="auto"/>
        <w:right w:val="none" w:sz="0" w:space="0" w:color="auto"/>
      </w:divBdr>
    </w:div>
    <w:div w:id="599414097">
      <w:bodyDiv w:val="1"/>
      <w:marLeft w:val="0"/>
      <w:marRight w:val="0"/>
      <w:marTop w:val="0"/>
      <w:marBottom w:val="0"/>
      <w:divBdr>
        <w:top w:val="none" w:sz="0" w:space="0" w:color="auto"/>
        <w:left w:val="none" w:sz="0" w:space="0" w:color="auto"/>
        <w:bottom w:val="none" w:sz="0" w:space="0" w:color="auto"/>
        <w:right w:val="none" w:sz="0" w:space="0" w:color="auto"/>
      </w:divBdr>
    </w:div>
    <w:div w:id="616985348">
      <w:bodyDiv w:val="1"/>
      <w:marLeft w:val="0"/>
      <w:marRight w:val="0"/>
      <w:marTop w:val="0"/>
      <w:marBottom w:val="0"/>
      <w:divBdr>
        <w:top w:val="none" w:sz="0" w:space="0" w:color="auto"/>
        <w:left w:val="none" w:sz="0" w:space="0" w:color="auto"/>
        <w:bottom w:val="none" w:sz="0" w:space="0" w:color="auto"/>
        <w:right w:val="none" w:sz="0" w:space="0" w:color="auto"/>
      </w:divBdr>
    </w:div>
    <w:div w:id="634021598">
      <w:bodyDiv w:val="1"/>
      <w:marLeft w:val="0"/>
      <w:marRight w:val="0"/>
      <w:marTop w:val="0"/>
      <w:marBottom w:val="0"/>
      <w:divBdr>
        <w:top w:val="none" w:sz="0" w:space="0" w:color="auto"/>
        <w:left w:val="none" w:sz="0" w:space="0" w:color="auto"/>
        <w:bottom w:val="none" w:sz="0" w:space="0" w:color="auto"/>
        <w:right w:val="none" w:sz="0" w:space="0" w:color="auto"/>
      </w:divBdr>
      <w:divsChild>
        <w:div w:id="994993130">
          <w:marLeft w:val="0"/>
          <w:marRight w:val="0"/>
          <w:marTop w:val="0"/>
          <w:marBottom w:val="0"/>
          <w:divBdr>
            <w:top w:val="none" w:sz="0" w:space="0" w:color="auto"/>
            <w:left w:val="none" w:sz="0" w:space="0" w:color="auto"/>
            <w:bottom w:val="none" w:sz="0" w:space="0" w:color="auto"/>
            <w:right w:val="none" w:sz="0" w:space="0" w:color="auto"/>
          </w:divBdr>
          <w:divsChild>
            <w:div w:id="1614745189">
              <w:marLeft w:val="-3000"/>
              <w:marRight w:val="0"/>
              <w:marTop w:val="0"/>
              <w:marBottom w:val="0"/>
              <w:divBdr>
                <w:top w:val="none" w:sz="0" w:space="0" w:color="auto"/>
                <w:left w:val="none" w:sz="0" w:space="0" w:color="auto"/>
                <w:bottom w:val="none" w:sz="0" w:space="0" w:color="auto"/>
                <w:right w:val="none" w:sz="0" w:space="0" w:color="auto"/>
              </w:divBdr>
              <w:divsChild>
                <w:div w:id="4464535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660499462">
      <w:bodyDiv w:val="1"/>
      <w:marLeft w:val="0"/>
      <w:marRight w:val="0"/>
      <w:marTop w:val="0"/>
      <w:marBottom w:val="0"/>
      <w:divBdr>
        <w:top w:val="none" w:sz="0" w:space="0" w:color="auto"/>
        <w:left w:val="none" w:sz="0" w:space="0" w:color="auto"/>
        <w:bottom w:val="none" w:sz="0" w:space="0" w:color="auto"/>
        <w:right w:val="none" w:sz="0" w:space="0" w:color="auto"/>
      </w:divBdr>
    </w:div>
    <w:div w:id="770665622">
      <w:bodyDiv w:val="1"/>
      <w:marLeft w:val="0"/>
      <w:marRight w:val="0"/>
      <w:marTop w:val="0"/>
      <w:marBottom w:val="0"/>
      <w:divBdr>
        <w:top w:val="none" w:sz="0" w:space="0" w:color="auto"/>
        <w:left w:val="none" w:sz="0" w:space="0" w:color="auto"/>
        <w:bottom w:val="none" w:sz="0" w:space="0" w:color="auto"/>
        <w:right w:val="none" w:sz="0" w:space="0" w:color="auto"/>
      </w:divBdr>
    </w:div>
    <w:div w:id="952052404">
      <w:bodyDiv w:val="1"/>
      <w:marLeft w:val="0"/>
      <w:marRight w:val="0"/>
      <w:marTop w:val="0"/>
      <w:marBottom w:val="0"/>
      <w:divBdr>
        <w:top w:val="none" w:sz="0" w:space="0" w:color="auto"/>
        <w:left w:val="none" w:sz="0" w:space="0" w:color="auto"/>
        <w:bottom w:val="none" w:sz="0" w:space="0" w:color="auto"/>
        <w:right w:val="none" w:sz="0" w:space="0" w:color="auto"/>
      </w:divBdr>
    </w:div>
    <w:div w:id="981932414">
      <w:bodyDiv w:val="1"/>
      <w:marLeft w:val="0"/>
      <w:marRight w:val="0"/>
      <w:marTop w:val="0"/>
      <w:marBottom w:val="0"/>
      <w:divBdr>
        <w:top w:val="none" w:sz="0" w:space="0" w:color="auto"/>
        <w:left w:val="none" w:sz="0" w:space="0" w:color="auto"/>
        <w:bottom w:val="none" w:sz="0" w:space="0" w:color="auto"/>
        <w:right w:val="none" w:sz="0" w:space="0" w:color="auto"/>
      </w:divBdr>
      <w:divsChild>
        <w:div w:id="490025949">
          <w:marLeft w:val="0"/>
          <w:marRight w:val="0"/>
          <w:marTop w:val="0"/>
          <w:marBottom w:val="0"/>
          <w:divBdr>
            <w:top w:val="none" w:sz="0" w:space="0" w:color="auto"/>
            <w:left w:val="none" w:sz="0" w:space="0" w:color="auto"/>
            <w:bottom w:val="none" w:sz="0" w:space="0" w:color="auto"/>
            <w:right w:val="none" w:sz="0" w:space="0" w:color="auto"/>
          </w:divBdr>
          <w:divsChild>
            <w:div w:id="579289453">
              <w:marLeft w:val="0"/>
              <w:marRight w:val="0"/>
              <w:marTop w:val="0"/>
              <w:marBottom w:val="0"/>
              <w:divBdr>
                <w:top w:val="single" w:sz="18" w:space="0" w:color="FFBF00"/>
                <w:left w:val="single" w:sz="18" w:space="0" w:color="FFBF00"/>
                <w:bottom w:val="single" w:sz="2" w:space="0" w:color="FFBF00"/>
                <w:right w:val="single" w:sz="2" w:space="0" w:color="FFBF00"/>
              </w:divBdr>
              <w:divsChild>
                <w:div w:id="2111779160">
                  <w:marLeft w:val="0"/>
                  <w:marRight w:val="0"/>
                  <w:marTop w:val="0"/>
                  <w:marBottom w:val="0"/>
                  <w:divBdr>
                    <w:top w:val="none" w:sz="0" w:space="0" w:color="auto"/>
                    <w:left w:val="none" w:sz="0" w:space="0" w:color="auto"/>
                    <w:bottom w:val="none" w:sz="0" w:space="0" w:color="auto"/>
                    <w:right w:val="none" w:sz="0" w:space="0" w:color="auto"/>
                  </w:divBdr>
                  <w:divsChild>
                    <w:div w:id="873691498">
                      <w:marLeft w:val="0"/>
                      <w:marRight w:val="0"/>
                      <w:marTop w:val="0"/>
                      <w:marBottom w:val="0"/>
                      <w:divBdr>
                        <w:top w:val="none" w:sz="0" w:space="0" w:color="auto"/>
                        <w:left w:val="none" w:sz="0" w:space="0" w:color="auto"/>
                        <w:bottom w:val="none" w:sz="0" w:space="0" w:color="auto"/>
                        <w:right w:val="none" w:sz="0" w:space="0" w:color="auto"/>
                      </w:divBdr>
                      <w:divsChild>
                        <w:div w:id="481626975">
                          <w:marLeft w:val="0"/>
                          <w:marRight w:val="0"/>
                          <w:marTop w:val="0"/>
                          <w:marBottom w:val="0"/>
                          <w:divBdr>
                            <w:top w:val="none" w:sz="0" w:space="0" w:color="auto"/>
                            <w:left w:val="none" w:sz="0" w:space="0" w:color="auto"/>
                            <w:bottom w:val="none" w:sz="0" w:space="0" w:color="auto"/>
                            <w:right w:val="none" w:sz="0" w:space="0" w:color="auto"/>
                          </w:divBdr>
                          <w:divsChild>
                            <w:div w:id="972715160">
                              <w:marLeft w:val="0"/>
                              <w:marRight w:val="0"/>
                              <w:marTop w:val="0"/>
                              <w:marBottom w:val="0"/>
                              <w:divBdr>
                                <w:top w:val="none" w:sz="0" w:space="0" w:color="auto"/>
                                <w:left w:val="none" w:sz="0" w:space="0" w:color="auto"/>
                                <w:bottom w:val="none" w:sz="0" w:space="0" w:color="auto"/>
                                <w:right w:val="none" w:sz="0" w:space="0" w:color="auto"/>
                              </w:divBdr>
                              <w:divsChild>
                                <w:div w:id="127821986">
                                  <w:marLeft w:val="0"/>
                                  <w:marRight w:val="0"/>
                                  <w:marTop w:val="0"/>
                                  <w:marBottom w:val="0"/>
                                  <w:divBdr>
                                    <w:top w:val="none" w:sz="0" w:space="0" w:color="auto"/>
                                    <w:left w:val="none" w:sz="0" w:space="0" w:color="auto"/>
                                    <w:bottom w:val="none" w:sz="0" w:space="0" w:color="auto"/>
                                    <w:right w:val="none" w:sz="0" w:space="0" w:color="auto"/>
                                  </w:divBdr>
                                  <w:divsChild>
                                    <w:div w:id="1411925741">
                                      <w:marLeft w:val="0"/>
                                      <w:marRight w:val="0"/>
                                      <w:marTop w:val="0"/>
                                      <w:marBottom w:val="0"/>
                                      <w:divBdr>
                                        <w:top w:val="none" w:sz="0" w:space="0" w:color="auto"/>
                                        <w:left w:val="none" w:sz="0" w:space="0" w:color="auto"/>
                                        <w:bottom w:val="none" w:sz="0" w:space="0" w:color="auto"/>
                                        <w:right w:val="none" w:sz="0" w:space="0" w:color="auto"/>
                                      </w:divBdr>
                                      <w:divsChild>
                                        <w:div w:id="198661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6989991">
      <w:bodyDiv w:val="1"/>
      <w:marLeft w:val="0"/>
      <w:marRight w:val="0"/>
      <w:marTop w:val="0"/>
      <w:marBottom w:val="0"/>
      <w:divBdr>
        <w:top w:val="none" w:sz="0" w:space="0" w:color="auto"/>
        <w:left w:val="none" w:sz="0" w:space="0" w:color="auto"/>
        <w:bottom w:val="none" w:sz="0" w:space="0" w:color="auto"/>
        <w:right w:val="none" w:sz="0" w:space="0" w:color="auto"/>
      </w:divBdr>
      <w:divsChild>
        <w:div w:id="1709640923">
          <w:marLeft w:val="0"/>
          <w:marRight w:val="0"/>
          <w:marTop w:val="0"/>
          <w:marBottom w:val="0"/>
          <w:divBdr>
            <w:top w:val="none" w:sz="0" w:space="0" w:color="auto"/>
            <w:left w:val="none" w:sz="0" w:space="0" w:color="auto"/>
            <w:bottom w:val="none" w:sz="0" w:space="0" w:color="auto"/>
            <w:right w:val="none" w:sz="0" w:space="0" w:color="auto"/>
          </w:divBdr>
          <w:divsChild>
            <w:div w:id="333847903">
              <w:marLeft w:val="-3000"/>
              <w:marRight w:val="0"/>
              <w:marTop w:val="0"/>
              <w:marBottom w:val="0"/>
              <w:divBdr>
                <w:top w:val="none" w:sz="0" w:space="0" w:color="auto"/>
                <w:left w:val="none" w:sz="0" w:space="0" w:color="auto"/>
                <w:bottom w:val="none" w:sz="0" w:space="0" w:color="auto"/>
                <w:right w:val="none" w:sz="0" w:space="0" w:color="auto"/>
              </w:divBdr>
              <w:divsChild>
                <w:div w:id="8488318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331251312">
      <w:bodyDiv w:val="1"/>
      <w:marLeft w:val="0"/>
      <w:marRight w:val="0"/>
      <w:marTop w:val="0"/>
      <w:marBottom w:val="0"/>
      <w:divBdr>
        <w:top w:val="none" w:sz="0" w:space="0" w:color="auto"/>
        <w:left w:val="none" w:sz="0" w:space="0" w:color="auto"/>
        <w:bottom w:val="none" w:sz="0" w:space="0" w:color="auto"/>
        <w:right w:val="none" w:sz="0" w:space="0" w:color="auto"/>
      </w:divBdr>
    </w:div>
    <w:div w:id="1373459382">
      <w:bodyDiv w:val="1"/>
      <w:marLeft w:val="0"/>
      <w:marRight w:val="0"/>
      <w:marTop w:val="0"/>
      <w:marBottom w:val="0"/>
      <w:divBdr>
        <w:top w:val="none" w:sz="0" w:space="0" w:color="auto"/>
        <w:left w:val="none" w:sz="0" w:space="0" w:color="auto"/>
        <w:bottom w:val="none" w:sz="0" w:space="0" w:color="auto"/>
        <w:right w:val="none" w:sz="0" w:space="0" w:color="auto"/>
      </w:divBdr>
    </w:div>
    <w:div w:id="1464271423">
      <w:bodyDiv w:val="1"/>
      <w:marLeft w:val="0"/>
      <w:marRight w:val="0"/>
      <w:marTop w:val="0"/>
      <w:marBottom w:val="0"/>
      <w:divBdr>
        <w:top w:val="none" w:sz="0" w:space="0" w:color="auto"/>
        <w:left w:val="none" w:sz="0" w:space="0" w:color="auto"/>
        <w:bottom w:val="none" w:sz="0" w:space="0" w:color="auto"/>
        <w:right w:val="none" w:sz="0" w:space="0" w:color="auto"/>
      </w:divBdr>
      <w:divsChild>
        <w:div w:id="555435178">
          <w:marLeft w:val="0"/>
          <w:marRight w:val="0"/>
          <w:marTop w:val="0"/>
          <w:marBottom w:val="0"/>
          <w:divBdr>
            <w:top w:val="none" w:sz="0" w:space="0" w:color="auto"/>
            <w:left w:val="none" w:sz="0" w:space="0" w:color="auto"/>
            <w:bottom w:val="none" w:sz="0" w:space="0" w:color="auto"/>
            <w:right w:val="none" w:sz="0" w:space="0" w:color="auto"/>
          </w:divBdr>
          <w:divsChild>
            <w:div w:id="1736081394">
              <w:marLeft w:val="-3000"/>
              <w:marRight w:val="0"/>
              <w:marTop w:val="0"/>
              <w:marBottom w:val="0"/>
              <w:divBdr>
                <w:top w:val="none" w:sz="0" w:space="0" w:color="auto"/>
                <w:left w:val="none" w:sz="0" w:space="0" w:color="auto"/>
                <w:bottom w:val="none" w:sz="0" w:space="0" w:color="auto"/>
                <w:right w:val="none" w:sz="0" w:space="0" w:color="auto"/>
              </w:divBdr>
              <w:divsChild>
                <w:div w:id="869995043">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512404334">
      <w:bodyDiv w:val="1"/>
      <w:marLeft w:val="0"/>
      <w:marRight w:val="0"/>
      <w:marTop w:val="0"/>
      <w:marBottom w:val="0"/>
      <w:divBdr>
        <w:top w:val="none" w:sz="0" w:space="0" w:color="auto"/>
        <w:left w:val="none" w:sz="0" w:space="0" w:color="auto"/>
        <w:bottom w:val="none" w:sz="0" w:space="0" w:color="auto"/>
        <w:right w:val="none" w:sz="0" w:space="0" w:color="auto"/>
      </w:divBdr>
    </w:div>
    <w:div w:id="1629169082">
      <w:bodyDiv w:val="1"/>
      <w:marLeft w:val="0"/>
      <w:marRight w:val="0"/>
      <w:marTop w:val="0"/>
      <w:marBottom w:val="0"/>
      <w:divBdr>
        <w:top w:val="none" w:sz="0" w:space="0" w:color="auto"/>
        <w:left w:val="none" w:sz="0" w:space="0" w:color="auto"/>
        <w:bottom w:val="none" w:sz="0" w:space="0" w:color="auto"/>
        <w:right w:val="none" w:sz="0" w:space="0" w:color="auto"/>
      </w:divBdr>
    </w:div>
    <w:div w:id="1641033349">
      <w:bodyDiv w:val="1"/>
      <w:marLeft w:val="0"/>
      <w:marRight w:val="0"/>
      <w:marTop w:val="0"/>
      <w:marBottom w:val="0"/>
      <w:divBdr>
        <w:top w:val="none" w:sz="0" w:space="0" w:color="auto"/>
        <w:left w:val="none" w:sz="0" w:space="0" w:color="auto"/>
        <w:bottom w:val="none" w:sz="0" w:space="0" w:color="auto"/>
        <w:right w:val="none" w:sz="0" w:space="0" w:color="auto"/>
      </w:divBdr>
    </w:div>
    <w:div w:id="1760566575">
      <w:bodyDiv w:val="1"/>
      <w:marLeft w:val="0"/>
      <w:marRight w:val="0"/>
      <w:marTop w:val="0"/>
      <w:marBottom w:val="0"/>
      <w:divBdr>
        <w:top w:val="none" w:sz="0" w:space="0" w:color="auto"/>
        <w:left w:val="none" w:sz="0" w:space="0" w:color="auto"/>
        <w:bottom w:val="none" w:sz="0" w:space="0" w:color="auto"/>
        <w:right w:val="none" w:sz="0" w:space="0" w:color="auto"/>
      </w:divBdr>
    </w:div>
    <w:div w:id="1811748377">
      <w:bodyDiv w:val="1"/>
      <w:marLeft w:val="0"/>
      <w:marRight w:val="0"/>
      <w:marTop w:val="0"/>
      <w:marBottom w:val="0"/>
      <w:divBdr>
        <w:top w:val="none" w:sz="0" w:space="0" w:color="auto"/>
        <w:left w:val="none" w:sz="0" w:space="0" w:color="auto"/>
        <w:bottom w:val="none" w:sz="0" w:space="0" w:color="auto"/>
        <w:right w:val="none" w:sz="0" w:space="0" w:color="auto"/>
      </w:divBdr>
    </w:div>
    <w:div w:id="1907033506">
      <w:bodyDiv w:val="1"/>
      <w:marLeft w:val="0"/>
      <w:marRight w:val="0"/>
      <w:marTop w:val="0"/>
      <w:marBottom w:val="0"/>
      <w:divBdr>
        <w:top w:val="none" w:sz="0" w:space="0" w:color="auto"/>
        <w:left w:val="none" w:sz="0" w:space="0" w:color="auto"/>
        <w:bottom w:val="none" w:sz="0" w:space="0" w:color="auto"/>
        <w:right w:val="none" w:sz="0" w:space="0" w:color="auto"/>
      </w:divBdr>
    </w:div>
    <w:div w:id="20570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keramo-kamenina.cz/techs_vrb.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gi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6CF01-3370-404E-A805-54D75361F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922</TotalTime>
  <Pages>1</Pages>
  <Words>3298</Words>
  <Characters>19460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SOUHRNNÁ    TECHNICKÁ    ZPRÁVA</vt:lpstr>
    </vt:vector>
  </TitlesOfParts>
  <Company>VODOMONT</Company>
  <LinksUpToDate>false</LinksUpToDate>
  <CharactersWithSpaces>22713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SOUHRNNÁ    TECHNICKÁ    ZPRÁVA</dc:title>
  <dc:subject/>
  <dc:creator>Jan Bejček</dc:creator>
  <cp:keywords/>
  <dc:description/>
  <cp:lastModifiedBy>Jan</cp:lastModifiedBy>
  <cp:revision>80</cp:revision>
  <cp:lastPrinted>2021-03-25T10:48:00Z</cp:lastPrinted>
  <dcterms:created xsi:type="dcterms:W3CDTF">2018-11-10T16:58:00Z</dcterms:created>
  <dcterms:modified xsi:type="dcterms:W3CDTF">2021-03-25T10:59:00Z</dcterms:modified>
</cp:coreProperties>
</file>